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1" w:leftChars="-34" w:firstLine="42" w:firstLineChars="20"/>
        <w:jc w:val="left"/>
        <w:rPr>
          <w:rFonts w:ascii="宋体" w:hAnsi="宋体"/>
          <w:szCs w:val="21"/>
        </w:rPr>
      </w:pPr>
      <w:r>
        <w:rPr>
          <w:rFonts w:hint="eastAsia" w:ascii="宋体" w:hAnsi="宋体"/>
          <w:color w:val="000000"/>
          <w:szCs w:val="21"/>
        </w:rPr>
        <w:t xml:space="preserve">附件1                                               </w:t>
      </w:r>
      <w:bookmarkStart w:id="0" w:name="_GoBack"/>
      <w:r>
        <w:rPr>
          <w:rFonts w:hint="eastAsia" w:ascii="宋体" w:hAnsi="宋体"/>
          <w:color w:val="000000"/>
          <w:szCs w:val="21"/>
        </w:rPr>
        <w:t xml:space="preserve"> </w:t>
      </w:r>
      <w:r>
        <w:rPr>
          <w:rFonts w:hint="eastAsia" w:ascii="宋体" w:hAnsi="宋体"/>
          <w:sz w:val="24"/>
        </w:rPr>
        <w:t>网络设施设备清单</w:t>
      </w:r>
      <w:bookmarkEnd w:id="0"/>
    </w:p>
    <w:tbl>
      <w:tblPr>
        <w:tblStyle w:val="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075"/>
        <w:gridCol w:w="1134"/>
        <w:gridCol w:w="1276"/>
        <w:gridCol w:w="5145"/>
        <w:gridCol w:w="700"/>
        <w:gridCol w:w="896"/>
        <w:gridCol w:w="913"/>
        <w:gridCol w:w="1134"/>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trPr>
        <w:tc>
          <w:tcPr>
            <w:tcW w:w="451" w:type="dxa"/>
            <w:noWrap w:val="0"/>
            <w:vAlign w:val="center"/>
          </w:tcPr>
          <w:p>
            <w:pPr>
              <w:spacing w:line="400" w:lineRule="exact"/>
              <w:ind w:left="-71" w:leftChars="-34" w:firstLine="42" w:firstLineChars="20"/>
              <w:jc w:val="center"/>
              <w:rPr>
                <w:rFonts w:hint="eastAsia" w:ascii="宋体" w:hAnsi="宋体"/>
                <w:szCs w:val="21"/>
              </w:rPr>
            </w:pPr>
            <w:r>
              <w:rPr>
                <w:rFonts w:ascii="宋体" w:hAnsi="宋体"/>
                <w:szCs w:val="21"/>
              </w:rPr>
              <w:br w:type="page"/>
            </w:r>
            <w:r>
              <w:rPr>
                <w:rFonts w:ascii="宋体" w:hAnsi="宋体"/>
                <w:szCs w:val="21"/>
              </w:rPr>
              <w:br w:type="page"/>
            </w:r>
            <w:r>
              <w:rPr>
                <w:rFonts w:hint="eastAsia" w:ascii="宋体" w:hAnsi="宋体"/>
                <w:szCs w:val="21"/>
              </w:rPr>
              <w:t>序号</w:t>
            </w:r>
          </w:p>
        </w:tc>
        <w:tc>
          <w:tcPr>
            <w:tcW w:w="1075" w:type="dxa"/>
            <w:noWrap w:val="0"/>
            <w:vAlign w:val="center"/>
          </w:tcPr>
          <w:p>
            <w:pPr>
              <w:spacing w:line="400" w:lineRule="exact"/>
              <w:ind w:left="-71" w:leftChars="-34" w:firstLine="42" w:firstLineChars="20"/>
              <w:jc w:val="center"/>
              <w:rPr>
                <w:rFonts w:hint="eastAsia" w:ascii="宋体" w:hAnsi="宋体"/>
                <w:szCs w:val="21"/>
              </w:rPr>
            </w:pPr>
            <w:r>
              <w:rPr>
                <w:rFonts w:hint="eastAsia" w:ascii="宋体" w:hAnsi="宋体"/>
                <w:szCs w:val="21"/>
              </w:rPr>
              <w:t>申报部门</w:t>
            </w:r>
          </w:p>
        </w:tc>
        <w:tc>
          <w:tcPr>
            <w:tcW w:w="1134" w:type="dxa"/>
            <w:noWrap w:val="0"/>
            <w:vAlign w:val="center"/>
          </w:tcPr>
          <w:p>
            <w:pPr>
              <w:ind w:left="-71" w:leftChars="-34" w:firstLine="42" w:firstLineChars="20"/>
              <w:jc w:val="center"/>
              <w:rPr>
                <w:rFonts w:hint="eastAsia" w:ascii="宋体" w:hAnsi="宋体"/>
                <w:szCs w:val="21"/>
              </w:rPr>
            </w:pPr>
            <w:r>
              <w:rPr>
                <w:rFonts w:hint="eastAsia" w:ascii="宋体" w:hAnsi="宋体"/>
                <w:szCs w:val="21"/>
              </w:rPr>
              <w:t>设备名称</w:t>
            </w:r>
          </w:p>
        </w:tc>
        <w:tc>
          <w:tcPr>
            <w:tcW w:w="1276" w:type="dxa"/>
            <w:noWrap w:val="0"/>
            <w:vAlign w:val="center"/>
          </w:tcPr>
          <w:p>
            <w:pPr>
              <w:spacing w:line="400" w:lineRule="exact"/>
              <w:ind w:left="-71" w:leftChars="-34" w:firstLine="42" w:firstLineChars="20"/>
              <w:jc w:val="center"/>
              <w:rPr>
                <w:rFonts w:hint="eastAsia" w:ascii="宋体" w:hAnsi="宋体"/>
                <w:szCs w:val="21"/>
              </w:rPr>
            </w:pPr>
            <w:r>
              <w:rPr>
                <w:rFonts w:hint="eastAsia" w:ascii="宋体" w:hAnsi="宋体"/>
                <w:szCs w:val="21"/>
              </w:rPr>
              <w:t>型号</w:t>
            </w:r>
          </w:p>
        </w:tc>
        <w:tc>
          <w:tcPr>
            <w:tcW w:w="5145" w:type="dxa"/>
            <w:noWrap w:val="0"/>
            <w:vAlign w:val="center"/>
          </w:tcPr>
          <w:p>
            <w:pPr>
              <w:ind w:left="-71" w:leftChars="-34" w:firstLine="42" w:firstLineChars="20"/>
              <w:jc w:val="center"/>
              <w:rPr>
                <w:rFonts w:hint="eastAsia" w:ascii="宋体" w:hAnsi="宋体"/>
                <w:szCs w:val="21"/>
              </w:rPr>
            </w:pPr>
            <w:r>
              <w:rPr>
                <w:rFonts w:hint="eastAsia" w:ascii="宋体" w:hAnsi="宋体"/>
                <w:szCs w:val="21"/>
              </w:rPr>
              <w:t>规格</w:t>
            </w:r>
            <w:r>
              <w:rPr>
                <w:rFonts w:hint="eastAsia" w:ascii="宋体" w:hAnsi="宋体"/>
                <w:color w:val="FF0000"/>
                <w:szCs w:val="21"/>
              </w:rPr>
              <w:t>（含相关经营资格或技术要求）</w:t>
            </w:r>
          </w:p>
        </w:tc>
        <w:tc>
          <w:tcPr>
            <w:tcW w:w="700" w:type="dxa"/>
            <w:noWrap w:val="0"/>
            <w:vAlign w:val="center"/>
          </w:tcPr>
          <w:p>
            <w:pPr>
              <w:spacing w:line="0" w:lineRule="atLeast"/>
              <w:ind w:left="-71" w:leftChars="-34" w:firstLine="42" w:firstLineChars="20"/>
              <w:jc w:val="center"/>
              <w:rPr>
                <w:rFonts w:hint="eastAsia" w:ascii="宋体" w:hAnsi="宋体"/>
                <w:szCs w:val="21"/>
              </w:rPr>
            </w:pPr>
            <w:r>
              <w:rPr>
                <w:rFonts w:hint="eastAsia" w:ascii="宋体" w:hAnsi="宋体"/>
                <w:szCs w:val="21"/>
              </w:rPr>
              <w:t>数量</w:t>
            </w:r>
          </w:p>
        </w:tc>
        <w:tc>
          <w:tcPr>
            <w:tcW w:w="896" w:type="dxa"/>
            <w:noWrap w:val="0"/>
            <w:vAlign w:val="center"/>
          </w:tcPr>
          <w:p>
            <w:pPr>
              <w:spacing w:line="0" w:lineRule="atLeast"/>
              <w:ind w:left="-72" w:leftChars="-38" w:hanging="8" w:hangingChars="4"/>
              <w:jc w:val="center"/>
              <w:rPr>
                <w:rFonts w:hint="eastAsia" w:ascii="宋体" w:hAnsi="宋体"/>
                <w:szCs w:val="21"/>
              </w:rPr>
            </w:pPr>
            <w:r>
              <w:rPr>
                <w:rFonts w:hint="eastAsia" w:ascii="宋体" w:hAnsi="宋体"/>
                <w:szCs w:val="21"/>
              </w:rPr>
              <w:t>单价</w:t>
            </w:r>
          </w:p>
          <w:p>
            <w:pPr>
              <w:spacing w:line="0" w:lineRule="atLeast"/>
              <w:ind w:left="-72" w:leftChars="-38" w:hanging="8" w:hangingChars="4"/>
              <w:jc w:val="center"/>
              <w:rPr>
                <w:rFonts w:hint="eastAsia" w:ascii="宋体" w:hAnsi="宋体"/>
                <w:szCs w:val="21"/>
              </w:rPr>
            </w:pPr>
            <w:r>
              <w:rPr>
                <w:rFonts w:hint="eastAsia" w:ascii="宋体" w:hAnsi="宋体"/>
                <w:szCs w:val="21"/>
              </w:rPr>
              <w:t>（万元）</w:t>
            </w:r>
          </w:p>
        </w:tc>
        <w:tc>
          <w:tcPr>
            <w:tcW w:w="913" w:type="dxa"/>
            <w:noWrap w:val="0"/>
            <w:vAlign w:val="center"/>
          </w:tcPr>
          <w:p>
            <w:pPr>
              <w:spacing w:line="0" w:lineRule="atLeast"/>
              <w:ind w:left="-72" w:leftChars="-38" w:hanging="8" w:hangingChars="4"/>
              <w:jc w:val="center"/>
              <w:rPr>
                <w:rFonts w:hint="eastAsia" w:ascii="宋体" w:hAnsi="宋体"/>
                <w:szCs w:val="21"/>
              </w:rPr>
            </w:pPr>
            <w:r>
              <w:rPr>
                <w:rFonts w:hint="eastAsia" w:ascii="宋体" w:hAnsi="宋体"/>
                <w:szCs w:val="21"/>
              </w:rPr>
              <w:t>金额</w:t>
            </w:r>
          </w:p>
          <w:p>
            <w:pPr>
              <w:spacing w:line="0" w:lineRule="atLeast"/>
              <w:ind w:left="-72" w:leftChars="-38" w:hanging="8" w:hangingChars="4"/>
              <w:jc w:val="center"/>
              <w:rPr>
                <w:rFonts w:hint="eastAsia" w:ascii="宋体" w:hAnsi="宋体"/>
                <w:szCs w:val="21"/>
              </w:rPr>
            </w:pPr>
            <w:r>
              <w:rPr>
                <w:rFonts w:hint="eastAsia" w:ascii="宋体" w:hAnsi="宋体"/>
                <w:szCs w:val="21"/>
              </w:rPr>
              <w:t>（万元）</w:t>
            </w:r>
          </w:p>
        </w:tc>
        <w:tc>
          <w:tcPr>
            <w:tcW w:w="1134" w:type="dxa"/>
            <w:noWrap w:val="0"/>
            <w:vAlign w:val="center"/>
          </w:tcPr>
          <w:p>
            <w:pPr>
              <w:spacing w:line="0" w:lineRule="atLeast"/>
              <w:ind w:left="-72" w:leftChars="-38" w:hanging="8" w:hangingChars="4"/>
              <w:jc w:val="center"/>
              <w:rPr>
                <w:rFonts w:hint="eastAsia" w:ascii="宋体" w:hAnsi="宋体"/>
                <w:szCs w:val="21"/>
              </w:rPr>
            </w:pPr>
            <w:r>
              <w:rPr>
                <w:rFonts w:hint="eastAsia" w:ascii="宋体" w:hAnsi="宋体"/>
                <w:szCs w:val="21"/>
              </w:rPr>
              <w:t>用       途</w:t>
            </w:r>
          </w:p>
        </w:tc>
        <w:tc>
          <w:tcPr>
            <w:tcW w:w="992" w:type="dxa"/>
            <w:noWrap w:val="0"/>
            <w:vAlign w:val="center"/>
          </w:tcPr>
          <w:p>
            <w:pPr>
              <w:spacing w:line="0" w:lineRule="atLeast"/>
              <w:ind w:left="-72" w:leftChars="-38" w:hanging="8" w:hangingChars="4"/>
              <w:jc w:val="center"/>
              <w:rPr>
                <w:rFonts w:hint="eastAsia" w:ascii="宋体" w:hAnsi="宋体"/>
                <w:szCs w:val="21"/>
              </w:rPr>
            </w:pPr>
            <w:r>
              <w:rPr>
                <w:rFonts w:hint="eastAsia" w:ascii="宋体" w:hAnsi="宋体"/>
                <w:szCs w:val="21"/>
              </w:rPr>
              <w:t>投 入</w:t>
            </w:r>
          </w:p>
          <w:p>
            <w:pPr>
              <w:spacing w:line="0" w:lineRule="atLeast"/>
              <w:ind w:left="-72" w:leftChars="-38" w:hanging="8" w:hangingChars="4"/>
              <w:jc w:val="center"/>
              <w:rPr>
                <w:rFonts w:hint="eastAsia" w:ascii="宋体" w:hAnsi="宋体"/>
                <w:szCs w:val="21"/>
              </w:rPr>
            </w:pPr>
            <w:r>
              <w:rPr>
                <w:rFonts w:hint="eastAsia" w:ascii="宋体" w:hAnsi="宋体"/>
                <w:szCs w:val="21"/>
              </w:rPr>
              <w:t>使用时间</w:t>
            </w:r>
          </w:p>
        </w:tc>
        <w:tc>
          <w:tcPr>
            <w:tcW w:w="993" w:type="dxa"/>
            <w:noWrap w:val="0"/>
            <w:vAlign w:val="center"/>
          </w:tcPr>
          <w:p>
            <w:pPr>
              <w:spacing w:line="0" w:lineRule="atLeast"/>
              <w:ind w:left="-72" w:leftChars="-38" w:hanging="8" w:hangingChars="4"/>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1" w:type="dxa"/>
            <w:noWrap w:val="0"/>
            <w:vAlign w:val="center"/>
          </w:tcPr>
          <w:p>
            <w:pPr>
              <w:spacing w:line="400" w:lineRule="exact"/>
              <w:ind w:left="-71" w:leftChars="-34" w:firstLine="42" w:firstLineChars="20"/>
              <w:jc w:val="center"/>
              <w:rPr>
                <w:rFonts w:hint="eastAsia" w:ascii="宋体" w:hAnsi="宋体"/>
                <w:color w:val="000000"/>
                <w:szCs w:val="21"/>
              </w:rPr>
            </w:pPr>
            <w:r>
              <w:rPr>
                <w:rFonts w:hint="eastAsia" w:ascii="宋体" w:hAnsi="宋体"/>
                <w:color w:val="000000"/>
                <w:szCs w:val="21"/>
              </w:rPr>
              <w:t>1</w:t>
            </w:r>
          </w:p>
        </w:tc>
        <w:tc>
          <w:tcPr>
            <w:tcW w:w="1075" w:type="dxa"/>
            <w:noWrap w:val="0"/>
            <w:vAlign w:val="center"/>
          </w:tcPr>
          <w:p>
            <w:pPr>
              <w:spacing w:line="340" w:lineRule="exact"/>
              <w:ind w:left="-71" w:leftChars="-34" w:firstLine="42" w:firstLineChars="20"/>
              <w:jc w:val="center"/>
              <w:rPr>
                <w:rFonts w:hint="eastAsia" w:ascii="宋体" w:hAnsi="宋体"/>
                <w:color w:val="000000"/>
                <w:szCs w:val="21"/>
              </w:rPr>
            </w:pPr>
            <w:r>
              <w:rPr>
                <w:rFonts w:hint="eastAsia" w:ascii="宋体" w:hAnsi="宋体"/>
                <w:color w:val="000000"/>
                <w:szCs w:val="21"/>
              </w:rPr>
              <w:t>信息与宣传中心</w:t>
            </w:r>
          </w:p>
        </w:tc>
        <w:tc>
          <w:tcPr>
            <w:tcW w:w="1134" w:type="dxa"/>
            <w:noWrap w:val="0"/>
            <w:vAlign w:val="center"/>
          </w:tcPr>
          <w:p>
            <w:pPr>
              <w:spacing w:line="340" w:lineRule="exact"/>
              <w:ind w:left="-71" w:leftChars="-34" w:firstLine="42" w:firstLineChars="20"/>
              <w:jc w:val="center"/>
              <w:rPr>
                <w:rFonts w:ascii="宋体" w:hAnsi="宋体"/>
                <w:color w:val="000000"/>
                <w:szCs w:val="21"/>
              </w:rPr>
            </w:pPr>
            <w:r>
              <w:rPr>
                <w:rFonts w:hint="eastAsia" w:ascii="宋体" w:hAnsi="宋体"/>
                <w:color w:val="000000"/>
                <w:szCs w:val="21"/>
              </w:rPr>
              <w:t>负载均衡</w:t>
            </w:r>
          </w:p>
        </w:tc>
        <w:tc>
          <w:tcPr>
            <w:tcW w:w="1276" w:type="dxa"/>
            <w:noWrap w:val="0"/>
            <w:vAlign w:val="center"/>
          </w:tcPr>
          <w:p>
            <w:pPr>
              <w:spacing w:line="340" w:lineRule="exact"/>
              <w:ind w:left="-71" w:leftChars="-34" w:firstLine="42" w:firstLineChars="20"/>
              <w:jc w:val="center"/>
              <w:rPr>
                <w:rFonts w:ascii="宋体" w:hAnsi="宋体"/>
                <w:color w:val="000000"/>
                <w:szCs w:val="21"/>
              </w:rPr>
            </w:pPr>
            <w:r>
              <w:rPr>
                <w:rFonts w:hint="eastAsia" w:ascii="宋体" w:hAnsi="宋体"/>
                <w:color w:val="000000"/>
                <w:szCs w:val="21"/>
              </w:rPr>
              <w:t>参考型号：深信服AD-1000-B1800</w:t>
            </w:r>
          </w:p>
        </w:tc>
        <w:tc>
          <w:tcPr>
            <w:tcW w:w="5145" w:type="dxa"/>
            <w:noWrap w:val="0"/>
            <w:vAlign w:val="center"/>
          </w:tcPr>
          <w:p>
            <w:pPr>
              <w:numPr>
                <w:ilvl w:val="0"/>
                <w:numId w:val="1"/>
              </w:numPr>
              <w:spacing w:line="340" w:lineRule="exact"/>
              <w:ind w:left="-71" w:leftChars="-34" w:firstLine="42" w:firstLineChars="20"/>
              <w:jc w:val="left"/>
              <w:rPr>
                <w:rFonts w:hint="eastAsia" w:ascii="宋体" w:hAnsi="宋体"/>
                <w:color w:val="000000"/>
                <w:szCs w:val="21"/>
              </w:rPr>
            </w:pPr>
            <w:r>
              <w:rPr>
                <w:rFonts w:hint="eastAsia" w:ascii="宋体" w:hAnsi="宋体"/>
                <w:color w:val="000000"/>
                <w:szCs w:val="21"/>
              </w:rPr>
              <w:t xml:space="preserve">独立专业负载设备，非插卡式扩展的负载均衡设备，千兆电口≥6个，千兆光口≥2个；四层吞吐量≥5Gbps，并发连接数≥800W，1U，冗余电源； </w:t>
            </w:r>
          </w:p>
          <w:p>
            <w:pPr>
              <w:numPr>
                <w:ilvl w:val="0"/>
                <w:numId w:val="1"/>
              </w:numPr>
              <w:spacing w:line="340" w:lineRule="exact"/>
              <w:ind w:left="-71" w:leftChars="-34" w:firstLine="42" w:firstLineChars="20"/>
              <w:jc w:val="left"/>
              <w:rPr>
                <w:rFonts w:hint="eastAsia" w:ascii="宋体" w:hAnsi="宋体"/>
                <w:color w:val="000000"/>
                <w:szCs w:val="21"/>
              </w:rPr>
            </w:pPr>
            <w:r>
              <w:rPr>
                <w:rFonts w:hint="eastAsia" w:ascii="宋体" w:hAnsi="宋体"/>
                <w:color w:val="000000"/>
                <w:szCs w:val="21"/>
              </w:rPr>
              <w:t xml:space="preserve">部署方式支持串接部署、旁路部署；支持三角传输模式； </w:t>
            </w:r>
          </w:p>
          <w:p>
            <w:pPr>
              <w:spacing w:line="340" w:lineRule="exact"/>
              <w:ind w:left="-29" w:leftChars="-14"/>
              <w:jc w:val="left"/>
              <w:rPr>
                <w:rFonts w:hint="eastAsia" w:ascii="宋体" w:hAnsi="宋体"/>
                <w:color w:val="000000"/>
                <w:szCs w:val="21"/>
              </w:rPr>
            </w:pPr>
            <w:r>
              <w:rPr>
                <w:rFonts w:hint="eastAsia" w:ascii="宋体" w:hAnsi="宋体"/>
                <w:color w:val="000000"/>
                <w:szCs w:val="21"/>
              </w:rPr>
              <w:t>3、设备形态必须独立专业负载设备，非插卡式扩展的负载均衡设备；</w:t>
            </w:r>
          </w:p>
          <w:p>
            <w:pPr>
              <w:spacing w:line="340" w:lineRule="exact"/>
              <w:ind w:left="-29" w:leftChars="-14"/>
              <w:jc w:val="left"/>
              <w:rPr>
                <w:rFonts w:hint="eastAsia" w:ascii="宋体" w:hAnsi="宋体"/>
                <w:color w:val="000000"/>
                <w:szCs w:val="21"/>
              </w:rPr>
            </w:pPr>
            <w:r>
              <w:rPr>
                <w:rFonts w:hint="eastAsia" w:ascii="宋体" w:hAnsi="宋体"/>
                <w:color w:val="000000"/>
                <w:szCs w:val="21"/>
              </w:rPr>
              <w:t>4、提供针对多条出口线路的链路负载均衡功能，实现inbound和outbound流量的均衡调度，以及链路之间的冗余互备；</w:t>
            </w:r>
          </w:p>
          <w:p>
            <w:pPr>
              <w:spacing w:line="340" w:lineRule="exact"/>
              <w:ind w:left="-29" w:leftChars="-14"/>
              <w:jc w:val="left"/>
              <w:rPr>
                <w:rFonts w:hint="eastAsia" w:ascii="宋体" w:hAnsi="宋体"/>
                <w:color w:val="000000"/>
                <w:szCs w:val="21"/>
              </w:rPr>
            </w:pPr>
            <w:r>
              <w:rPr>
                <w:rFonts w:hint="eastAsia" w:ascii="宋体" w:hAnsi="宋体"/>
                <w:color w:val="000000"/>
                <w:szCs w:val="21"/>
              </w:rPr>
              <w:t>★5、支持静态IP和PPPOE两种线路接入方式；（</w:t>
            </w:r>
            <w:r>
              <w:rPr>
                <w:rFonts w:hint="eastAsia" w:ascii="宋体" w:hAnsi="宋体"/>
                <w:color w:val="000000"/>
                <w:szCs w:val="21"/>
                <w:lang w:eastAsia="zh-CN"/>
              </w:rPr>
              <w:t>竞标时必须提供</w:t>
            </w:r>
            <w:r>
              <w:rPr>
                <w:rFonts w:hint="eastAsia" w:ascii="宋体" w:hAnsi="宋体"/>
                <w:color w:val="000000"/>
                <w:szCs w:val="21"/>
              </w:rPr>
              <w:t>设备操作界面截图证明材料）；</w:t>
            </w:r>
          </w:p>
          <w:p>
            <w:pPr>
              <w:numPr>
                <w:ilvl w:val="0"/>
                <w:numId w:val="2"/>
              </w:numPr>
              <w:spacing w:line="340" w:lineRule="exact"/>
              <w:ind w:left="-29" w:leftChars="-14"/>
              <w:jc w:val="left"/>
              <w:rPr>
                <w:rFonts w:hint="eastAsia" w:ascii="宋体" w:hAnsi="宋体"/>
                <w:color w:val="000000"/>
                <w:szCs w:val="21"/>
              </w:rPr>
            </w:pPr>
            <w:r>
              <w:rPr>
                <w:rFonts w:hint="eastAsia" w:ascii="宋体" w:hAnsi="宋体"/>
                <w:color w:val="000000"/>
                <w:szCs w:val="21"/>
              </w:rPr>
              <w:t>提供针对多站点业务发布的全局负载均衡功能，通过智能DNS等机制实现公网用户对多个数据中心或单个数据中心多条线路的最佳访问；</w:t>
            </w:r>
          </w:p>
          <w:p>
            <w:pPr>
              <w:spacing w:line="340" w:lineRule="exact"/>
              <w:jc w:val="left"/>
              <w:rPr>
                <w:rFonts w:hint="eastAsia" w:ascii="宋体" w:hAnsi="宋体"/>
                <w:color w:val="000000"/>
                <w:szCs w:val="21"/>
              </w:rPr>
            </w:pPr>
            <w:r>
              <w:rPr>
                <w:rFonts w:hint="eastAsia" w:ascii="宋体" w:hAnsi="宋体"/>
                <w:color w:val="000000"/>
                <w:szCs w:val="21"/>
              </w:rPr>
              <w:t>★7、支持被动式健康检查，可根据对业务流量的观测采样，辅助判断应用服务器健康状况；对常规HTTP应用可配置基于反映URL失效的HTTP响应状态码的观测判断机制，对于复杂应用可配置基于RST关闭连接和零窗口等异常TCP传输行为的观测判断机制；（</w:t>
            </w:r>
            <w:r>
              <w:rPr>
                <w:rFonts w:hint="eastAsia" w:ascii="宋体" w:hAnsi="宋体"/>
                <w:color w:val="000000"/>
                <w:szCs w:val="21"/>
                <w:lang w:eastAsia="zh-CN"/>
              </w:rPr>
              <w:t>竞标时必须提供</w:t>
            </w:r>
            <w:r>
              <w:rPr>
                <w:rFonts w:hint="eastAsia" w:ascii="宋体" w:hAnsi="宋体"/>
                <w:color w:val="000000"/>
                <w:szCs w:val="21"/>
              </w:rPr>
              <w:t>设备操作界面截图证明材料）；</w:t>
            </w:r>
          </w:p>
          <w:p>
            <w:pPr>
              <w:spacing w:line="340" w:lineRule="exact"/>
              <w:jc w:val="left"/>
              <w:rPr>
                <w:rFonts w:hint="eastAsia" w:ascii="宋体" w:hAnsi="宋体"/>
                <w:color w:val="000000"/>
                <w:szCs w:val="21"/>
              </w:rPr>
            </w:pPr>
            <w:r>
              <w:rPr>
                <w:rFonts w:hint="eastAsia" w:ascii="宋体" w:hAnsi="宋体"/>
                <w:color w:val="000000"/>
                <w:szCs w:val="21"/>
              </w:rPr>
              <w:t>★8、支持主动探测方式与被动观测方式结合使用的服务器健康检查手段，以便适应各种复杂应用交互流程，保障业务系统的高可用性；（</w:t>
            </w:r>
            <w:r>
              <w:rPr>
                <w:rFonts w:hint="eastAsia" w:ascii="宋体" w:hAnsi="宋体"/>
                <w:color w:val="000000"/>
                <w:szCs w:val="21"/>
                <w:lang w:eastAsia="zh-CN"/>
              </w:rPr>
              <w:t>竞标时必须提供</w:t>
            </w:r>
            <w:r>
              <w:rPr>
                <w:rFonts w:hint="eastAsia" w:ascii="宋体" w:hAnsi="宋体"/>
                <w:color w:val="000000"/>
                <w:szCs w:val="21"/>
              </w:rPr>
              <w:t>设备操作界面截图证明材料）；</w:t>
            </w:r>
          </w:p>
          <w:p>
            <w:pPr>
              <w:numPr>
                <w:ilvl w:val="0"/>
                <w:numId w:val="3"/>
              </w:numPr>
              <w:spacing w:line="340" w:lineRule="exact"/>
              <w:jc w:val="left"/>
              <w:rPr>
                <w:rFonts w:hint="eastAsia" w:ascii="宋体" w:hAnsi="宋体"/>
                <w:color w:val="000000"/>
                <w:szCs w:val="21"/>
              </w:rPr>
            </w:pPr>
            <w:r>
              <w:rPr>
                <w:rFonts w:hint="eastAsia" w:ascii="宋体" w:hAnsi="宋体"/>
                <w:color w:val="000000"/>
                <w:szCs w:val="21"/>
              </w:rPr>
              <w:t>对Oracle数据库和Weblogic中间件的关键性能指标监控，并通过报表的形式多维度实时展现关键性能参数；</w:t>
            </w:r>
          </w:p>
          <w:p>
            <w:pPr>
              <w:spacing w:line="340" w:lineRule="exact"/>
              <w:jc w:val="left"/>
              <w:rPr>
                <w:rFonts w:hint="eastAsia" w:ascii="宋体" w:hAnsi="宋体"/>
                <w:color w:val="000000"/>
                <w:szCs w:val="21"/>
              </w:rPr>
            </w:pPr>
            <w:r>
              <w:rPr>
                <w:rFonts w:hint="eastAsia" w:ascii="宋体" w:hAnsi="宋体"/>
                <w:color w:val="000000"/>
                <w:szCs w:val="21"/>
              </w:rPr>
              <w:t>★10、支持图片优化技术，通过对图片格式的转换，减少传输流量，提升web页面加载速度。无需改动服务器端的图片源文件，可根据浏览器种类自动识别转换类型，将图片转换为对应支持的WebP或JPEG格式，优化加速效果；（</w:t>
            </w:r>
            <w:r>
              <w:rPr>
                <w:rFonts w:hint="eastAsia" w:ascii="宋体" w:hAnsi="宋体"/>
                <w:color w:val="000000"/>
                <w:szCs w:val="21"/>
                <w:lang w:eastAsia="zh-CN"/>
              </w:rPr>
              <w:t>竞标时必须提供</w:t>
            </w:r>
            <w:r>
              <w:rPr>
                <w:rFonts w:hint="eastAsia" w:ascii="宋体" w:hAnsi="宋体"/>
                <w:color w:val="000000"/>
                <w:szCs w:val="21"/>
              </w:rPr>
              <w:t>设备操作界面截图证明材料）；</w:t>
            </w:r>
          </w:p>
          <w:p>
            <w:pPr>
              <w:numPr>
                <w:ilvl w:val="0"/>
                <w:numId w:val="3"/>
              </w:numPr>
              <w:spacing w:line="340" w:lineRule="exact"/>
              <w:jc w:val="left"/>
              <w:rPr>
                <w:rFonts w:hint="eastAsia" w:ascii="宋体" w:hAnsi="宋体"/>
                <w:color w:val="000000"/>
                <w:szCs w:val="21"/>
              </w:rPr>
            </w:pPr>
            <w:r>
              <w:rPr>
                <w:rFonts w:hint="eastAsia" w:ascii="宋体" w:hAnsi="宋体"/>
                <w:color w:val="000000"/>
                <w:szCs w:val="21"/>
              </w:rPr>
              <w:t>支持DNS透明代理功能，可基于负载均衡算法代理内网用户进行DNS请求转发，避免单运营商DNS解析出现单一链路流量过载，平衡多条运营商线路的带宽利用率；</w:t>
            </w:r>
          </w:p>
          <w:p>
            <w:pPr>
              <w:spacing w:line="340" w:lineRule="exact"/>
              <w:jc w:val="left"/>
              <w:rPr>
                <w:rFonts w:hint="eastAsia" w:ascii="宋体" w:hAnsi="宋体"/>
                <w:color w:val="000000"/>
                <w:szCs w:val="21"/>
              </w:rPr>
            </w:pPr>
            <w:r>
              <w:rPr>
                <w:rFonts w:hint="eastAsia" w:ascii="宋体" w:hAnsi="宋体"/>
                <w:color w:val="000000"/>
                <w:szCs w:val="21"/>
              </w:rPr>
              <w:t>★12、支持基于链路流量负荷情况的繁忙保护机制，能根据链路的上行/下行带宽占用率情况执行对出站/入站流量的高级调度策略；（</w:t>
            </w:r>
            <w:r>
              <w:rPr>
                <w:rFonts w:hint="eastAsia" w:ascii="宋体" w:hAnsi="宋体"/>
                <w:color w:val="000000"/>
                <w:szCs w:val="21"/>
                <w:lang w:eastAsia="zh-CN"/>
              </w:rPr>
              <w:t>竞标时必须提供</w:t>
            </w:r>
            <w:r>
              <w:rPr>
                <w:rFonts w:hint="eastAsia" w:ascii="宋体" w:hAnsi="宋体"/>
                <w:color w:val="000000"/>
                <w:szCs w:val="21"/>
              </w:rPr>
              <w:t>设备操作界面截图证明材料）；</w:t>
            </w:r>
          </w:p>
          <w:p>
            <w:pPr>
              <w:numPr>
                <w:ilvl w:val="0"/>
                <w:numId w:val="4"/>
              </w:numPr>
              <w:spacing w:line="340" w:lineRule="exact"/>
              <w:jc w:val="left"/>
              <w:rPr>
                <w:rFonts w:hint="eastAsia" w:ascii="宋体" w:hAnsi="宋体"/>
                <w:color w:val="000000"/>
                <w:szCs w:val="21"/>
              </w:rPr>
            </w:pPr>
            <w:r>
              <w:rPr>
                <w:rFonts w:hint="eastAsia" w:ascii="宋体" w:hAnsi="宋体"/>
                <w:color w:val="000000"/>
                <w:szCs w:val="21"/>
              </w:rPr>
              <w:t>支持服务器浪涌保护，支持面向服务器健康度的弹性调控机制，可通过监控业务流中的TCP传输异常来衡量服务器节点的有效性，尝试对性能不足的服务器临时开启过载保护，动态调节服务器的负载；</w:t>
            </w:r>
          </w:p>
          <w:p>
            <w:pPr>
              <w:numPr>
                <w:ilvl w:val="0"/>
                <w:numId w:val="4"/>
              </w:numPr>
              <w:spacing w:line="340" w:lineRule="exact"/>
              <w:jc w:val="left"/>
              <w:rPr>
                <w:rFonts w:hint="eastAsia" w:ascii="宋体" w:hAnsi="宋体"/>
                <w:color w:val="000000"/>
                <w:szCs w:val="21"/>
              </w:rPr>
            </w:pPr>
            <w:r>
              <w:rPr>
                <w:rFonts w:hint="eastAsia" w:ascii="宋体" w:hAnsi="宋体"/>
                <w:color w:val="000000"/>
                <w:szCs w:val="21"/>
              </w:rPr>
              <w:t>支持与VMware vSphere服务器虚拟化环境深度结合，提供VMware vCenter的插件，可以实现在vCenter上管理负载均衡设备，自动同步配置；</w:t>
            </w:r>
          </w:p>
          <w:p>
            <w:pPr>
              <w:numPr>
                <w:ilvl w:val="0"/>
                <w:numId w:val="4"/>
              </w:numPr>
              <w:spacing w:line="340" w:lineRule="exact"/>
              <w:jc w:val="left"/>
              <w:rPr>
                <w:rFonts w:hint="eastAsia" w:ascii="宋体" w:hAnsi="宋体"/>
                <w:color w:val="000000"/>
                <w:szCs w:val="21"/>
              </w:rPr>
            </w:pPr>
            <w:r>
              <w:rPr>
                <w:rFonts w:hint="eastAsia" w:ascii="宋体" w:hAnsi="宋体"/>
                <w:color w:val="000000"/>
                <w:szCs w:val="21"/>
              </w:rPr>
              <w:t>支持与VMware vCenter联动，可根据业务高峰期与空闲时段进行主动判断，针对应用系统的虚拟机负荷（例如服务发连接数、CPU阈值等信息）进行实时调整，通过动态增加或关闭虚拟机以调整业务资源（无需额外购买VMware Lisence）；</w:t>
            </w:r>
          </w:p>
          <w:p>
            <w:pPr>
              <w:spacing w:line="340" w:lineRule="exact"/>
              <w:jc w:val="left"/>
              <w:rPr>
                <w:rFonts w:hint="eastAsia" w:ascii="宋体" w:hAnsi="宋体"/>
                <w:color w:val="000000"/>
                <w:szCs w:val="21"/>
              </w:rPr>
            </w:pPr>
            <w:r>
              <w:rPr>
                <w:rFonts w:hint="eastAsia" w:ascii="宋体" w:hAnsi="宋体"/>
                <w:color w:val="000000"/>
                <w:szCs w:val="21"/>
              </w:rPr>
              <w:t>16、支持实时漏洞检测功能，通过对实时流量进行安全性分析来评估业务系统的漏洞风险。</w:t>
            </w:r>
          </w:p>
        </w:tc>
        <w:tc>
          <w:tcPr>
            <w:tcW w:w="700"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1台</w:t>
            </w:r>
          </w:p>
        </w:tc>
        <w:tc>
          <w:tcPr>
            <w:tcW w:w="896" w:type="dxa"/>
            <w:noWrap w:val="0"/>
            <w:vAlign w:val="center"/>
          </w:tcPr>
          <w:p>
            <w:pPr>
              <w:ind w:left="-71" w:leftChars="-34" w:firstLine="42" w:firstLineChars="20"/>
              <w:jc w:val="center"/>
              <w:rPr>
                <w:rFonts w:hint="eastAsia" w:ascii="宋体" w:hAnsi="宋体"/>
                <w:color w:val="000000"/>
                <w:szCs w:val="21"/>
              </w:rPr>
            </w:pPr>
          </w:p>
        </w:tc>
        <w:tc>
          <w:tcPr>
            <w:tcW w:w="913" w:type="dxa"/>
            <w:noWrap w:val="0"/>
            <w:vAlign w:val="center"/>
          </w:tcPr>
          <w:p>
            <w:pPr>
              <w:ind w:left="-71" w:leftChars="-34" w:firstLine="42" w:firstLineChars="20"/>
              <w:jc w:val="center"/>
              <w:rPr>
                <w:rFonts w:hint="eastAsia" w:ascii="宋体" w:hAnsi="宋体"/>
                <w:color w:val="000000"/>
                <w:szCs w:val="21"/>
              </w:rPr>
            </w:pPr>
          </w:p>
        </w:tc>
        <w:tc>
          <w:tcPr>
            <w:tcW w:w="1134"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网络安全建设</w:t>
            </w:r>
          </w:p>
        </w:tc>
        <w:tc>
          <w:tcPr>
            <w:tcW w:w="992" w:type="dxa"/>
            <w:noWrap w:val="0"/>
            <w:vAlign w:val="center"/>
          </w:tcPr>
          <w:p>
            <w:pPr>
              <w:spacing w:line="0" w:lineRule="atLeast"/>
              <w:ind w:left="-71" w:leftChars="-34" w:firstLine="42" w:firstLineChars="20"/>
              <w:jc w:val="center"/>
              <w:rPr>
                <w:rFonts w:hint="eastAsia" w:ascii="宋体" w:hAnsi="宋体"/>
                <w:color w:val="000000"/>
                <w:szCs w:val="21"/>
              </w:rPr>
            </w:pPr>
            <w:r>
              <w:rPr>
                <w:rFonts w:hint="eastAsia" w:ascii="宋体" w:hAnsi="宋体"/>
                <w:color w:val="000000"/>
                <w:szCs w:val="21"/>
              </w:rPr>
              <w:t>2021.10.31</w:t>
            </w:r>
          </w:p>
        </w:tc>
        <w:tc>
          <w:tcPr>
            <w:tcW w:w="993" w:type="dxa"/>
            <w:noWrap w:val="0"/>
            <w:vAlign w:val="center"/>
          </w:tcPr>
          <w:p>
            <w:pPr>
              <w:spacing w:line="0" w:lineRule="atLeast"/>
              <w:ind w:left="-71" w:leftChars="-34" w:firstLine="42" w:firstLineChars="2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1" w:type="dxa"/>
            <w:noWrap w:val="0"/>
            <w:vAlign w:val="center"/>
          </w:tcPr>
          <w:p>
            <w:pPr>
              <w:spacing w:line="400" w:lineRule="exact"/>
              <w:ind w:left="-71" w:leftChars="-34" w:firstLine="42" w:firstLineChars="20"/>
              <w:jc w:val="center"/>
              <w:rPr>
                <w:rFonts w:hint="eastAsia" w:ascii="宋体" w:hAnsi="宋体"/>
                <w:color w:val="000000"/>
                <w:szCs w:val="21"/>
              </w:rPr>
            </w:pPr>
            <w:r>
              <w:rPr>
                <w:rFonts w:hint="eastAsia" w:ascii="宋体" w:hAnsi="宋体"/>
                <w:color w:val="000000"/>
                <w:szCs w:val="21"/>
              </w:rPr>
              <w:t>2</w:t>
            </w:r>
          </w:p>
        </w:tc>
        <w:tc>
          <w:tcPr>
            <w:tcW w:w="1075" w:type="dxa"/>
            <w:noWrap w:val="0"/>
            <w:vAlign w:val="center"/>
          </w:tcPr>
          <w:p>
            <w:pPr>
              <w:spacing w:line="340" w:lineRule="exact"/>
              <w:ind w:left="-71" w:leftChars="-34" w:firstLine="42" w:firstLineChars="20"/>
              <w:jc w:val="center"/>
              <w:rPr>
                <w:rFonts w:hint="eastAsia" w:ascii="宋体" w:hAnsi="宋体"/>
                <w:color w:val="000000"/>
                <w:szCs w:val="21"/>
              </w:rPr>
            </w:pPr>
            <w:r>
              <w:rPr>
                <w:rFonts w:hint="eastAsia" w:ascii="宋体" w:hAnsi="宋体"/>
                <w:color w:val="000000"/>
                <w:szCs w:val="21"/>
              </w:rPr>
              <w:t>信息与宣传中心</w:t>
            </w:r>
          </w:p>
        </w:tc>
        <w:tc>
          <w:tcPr>
            <w:tcW w:w="1134" w:type="dxa"/>
            <w:noWrap w:val="0"/>
            <w:vAlign w:val="center"/>
          </w:tcPr>
          <w:p>
            <w:pPr>
              <w:spacing w:line="340" w:lineRule="exact"/>
              <w:ind w:left="-71" w:leftChars="-34" w:firstLine="42" w:firstLineChars="20"/>
              <w:jc w:val="center"/>
              <w:rPr>
                <w:rFonts w:ascii="宋体" w:hAnsi="宋体"/>
                <w:color w:val="000000"/>
                <w:szCs w:val="21"/>
              </w:rPr>
            </w:pPr>
            <w:r>
              <w:rPr>
                <w:rFonts w:hint="eastAsia" w:ascii="宋体" w:hAnsi="宋体"/>
                <w:color w:val="000000"/>
                <w:szCs w:val="21"/>
              </w:rPr>
              <w:t>千兆单模光模块</w:t>
            </w:r>
          </w:p>
        </w:tc>
        <w:tc>
          <w:tcPr>
            <w:tcW w:w="1276" w:type="dxa"/>
            <w:noWrap w:val="0"/>
            <w:vAlign w:val="center"/>
          </w:tcPr>
          <w:p>
            <w:pPr>
              <w:spacing w:line="340" w:lineRule="exact"/>
              <w:ind w:left="-71" w:leftChars="-34" w:firstLine="42" w:firstLineChars="20"/>
              <w:jc w:val="center"/>
              <w:rPr>
                <w:rFonts w:ascii="宋体" w:hAnsi="宋体"/>
                <w:color w:val="000000"/>
                <w:szCs w:val="21"/>
              </w:rPr>
            </w:pPr>
            <w:r>
              <w:rPr>
                <w:rFonts w:hint="eastAsia" w:ascii="宋体" w:hAnsi="宋体"/>
                <w:color w:val="000000"/>
                <w:szCs w:val="21"/>
              </w:rPr>
              <w:t>参考型号：信锐</w:t>
            </w:r>
          </w:p>
        </w:tc>
        <w:tc>
          <w:tcPr>
            <w:tcW w:w="5145" w:type="dxa"/>
            <w:noWrap w:val="0"/>
            <w:vAlign w:val="center"/>
          </w:tcPr>
          <w:p>
            <w:pPr>
              <w:spacing w:line="340" w:lineRule="exact"/>
              <w:ind w:left="-71" w:leftChars="-34" w:firstLine="42" w:firstLineChars="20"/>
              <w:jc w:val="left"/>
              <w:rPr>
                <w:rFonts w:ascii="宋体" w:hAnsi="宋体"/>
                <w:color w:val="000000"/>
                <w:szCs w:val="21"/>
              </w:rPr>
            </w:pPr>
            <w:r>
              <w:rPr>
                <w:rFonts w:hint="eastAsia" w:ascii="宋体" w:hAnsi="宋体"/>
                <w:color w:val="000000"/>
                <w:szCs w:val="21"/>
              </w:rPr>
              <w:t>光模块-SFP-1G-单模模块-(1310nm,10km,LC)，含双芯单模光纤跳线1对。</w:t>
            </w:r>
          </w:p>
        </w:tc>
        <w:tc>
          <w:tcPr>
            <w:tcW w:w="700"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2个</w:t>
            </w:r>
          </w:p>
        </w:tc>
        <w:tc>
          <w:tcPr>
            <w:tcW w:w="896" w:type="dxa"/>
            <w:noWrap w:val="0"/>
            <w:vAlign w:val="center"/>
          </w:tcPr>
          <w:p>
            <w:pPr>
              <w:ind w:left="-71" w:leftChars="-34" w:firstLine="42" w:firstLineChars="20"/>
              <w:jc w:val="center"/>
              <w:rPr>
                <w:rFonts w:hint="eastAsia" w:ascii="宋体" w:hAnsi="宋体"/>
                <w:color w:val="000000"/>
                <w:szCs w:val="21"/>
              </w:rPr>
            </w:pPr>
          </w:p>
        </w:tc>
        <w:tc>
          <w:tcPr>
            <w:tcW w:w="913" w:type="dxa"/>
            <w:noWrap w:val="0"/>
            <w:vAlign w:val="center"/>
          </w:tcPr>
          <w:p>
            <w:pPr>
              <w:ind w:left="-71" w:leftChars="-34" w:firstLine="42" w:firstLineChars="20"/>
              <w:jc w:val="center"/>
              <w:rPr>
                <w:rFonts w:hint="eastAsia" w:ascii="宋体" w:hAnsi="宋体"/>
                <w:color w:val="000000"/>
                <w:szCs w:val="21"/>
              </w:rPr>
            </w:pPr>
          </w:p>
        </w:tc>
        <w:tc>
          <w:tcPr>
            <w:tcW w:w="1134"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网络安全建设</w:t>
            </w:r>
          </w:p>
        </w:tc>
        <w:tc>
          <w:tcPr>
            <w:tcW w:w="992" w:type="dxa"/>
            <w:noWrap w:val="0"/>
            <w:vAlign w:val="center"/>
          </w:tcPr>
          <w:p>
            <w:pPr>
              <w:spacing w:line="0" w:lineRule="atLeast"/>
              <w:ind w:left="-71" w:leftChars="-34" w:firstLine="42" w:firstLineChars="20"/>
              <w:jc w:val="center"/>
              <w:rPr>
                <w:rFonts w:hint="eastAsia" w:ascii="宋体" w:hAnsi="宋体"/>
                <w:color w:val="000000"/>
                <w:szCs w:val="21"/>
              </w:rPr>
            </w:pPr>
            <w:r>
              <w:rPr>
                <w:rFonts w:hint="eastAsia" w:ascii="宋体" w:hAnsi="宋体"/>
                <w:color w:val="000000"/>
                <w:szCs w:val="21"/>
              </w:rPr>
              <w:t>2021.10.31</w:t>
            </w:r>
          </w:p>
        </w:tc>
        <w:tc>
          <w:tcPr>
            <w:tcW w:w="993" w:type="dxa"/>
            <w:noWrap w:val="0"/>
            <w:vAlign w:val="center"/>
          </w:tcPr>
          <w:p>
            <w:pPr>
              <w:spacing w:line="0" w:lineRule="atLeast"/>
              <w:ind w:left="-71" w:leftChars="-34" w:firstLine="42" w:firstLineChars="2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1" w:type="dxa"/>
            <w:noWrap w:val="0"/>
            <w:vAlign w:val="center"/>
          </w:tcPr>
          <w:p>
            <w:pPr>
              <w:spacing w:line="400" w:lineRule="exact"/>
              <w:ind w:left="-71" w:leftChars="-34" w:firstLine="42" w:firstLineChars="20"/>
              <w:jc w:val="center"/>
              <w:rPr>
                <w:rFonts w:hint="eastAsia" w:ascii="宋体" w:hAnsi="宋体"/>
                <w:color w:val="000000"/>
                <w:szCs w:val="21"/>
              </w:rPr>
            </w:pPr>
            <w:r>
              <w:rPr>
                <w:rFonts w:hint="eastAsia" w:ascii="宋体" w:hAnsi="宋体"/>
                <w:color w:val="000000"/>
                <w:szCs w:val="21"/>
              </w:rPr>
              <w:t>3</w:t>
            </w:r>
          </w:p>
        </w:tc>
        <w:tc>
          <w:tcPr>
            <w:tcW w:w="1075" w:type="dxa"/>
            <w:noWrap w:val="0"/>
            <w:vAlign w:val="center"/>
          </w:tcPr>
          <w:p>
            <w:pPr>
              <w:spacing w:line="340" w:lineRule="exact"/>
              <w:ind w:left="-71" w:leftChars="-34" w:firstLine="42" w:firstLineChars="20"/>
              <w:jc w:val="center"/>
              <w:rPr>
                <w:rFonts w:hint="eastAsia" w:ascii="宋体" w:hAnsi="宋体"/>
                <w:color w:val="000000"/>
                <w:szCs w:val="21"/>
              </w:rPr>
            </w:pPr>
            <w:r>
              <w:rPr>
                <w:rFonts w:hint="eastAsia" w:ascii="宋体" w:hAnsi="宋体"/>
                <w:color w:val="000000"/>
                <w:szCs w:val="21"/>
              </w:rPr>
              <w:t>信息与宣传中心</w:t>
            </w:r>
          </w:p>
        </w:tc>
        <w:tc>
          <w:tcPr>
            <w:tcW w:w="1134" w:type="dxa"/>
            <w:noWrap w:val="0"/>
            <w:vAlign w:val="center"/>
          </w:tcPr>
          <w:p>
            <w:pPr>
              <w:spacing w:line="340" w:lineRule="exact"/>
              <w:ind w:left="-71" w:leftChars="-34" w:firstLine="42" w:firstLineChars="20"/>
              <w:jc w:val="left"/>
              <w:rPr>
                <w:rFonts w:ascii="宋体" w:hAnsi="宋体"/>
                <w:color w:val="000000"/>
                <w:szCs w:val="21"/>
              </w:rPr>
            </w:pPr>
            <w:r>
              <w:rPr>
                <w:rFonts w:hint="eastAsia" w:ascii="宋体" w:hAnsi="宋体"/>
                <w:color w:val="000000"/>
                <w:szCs w:val="21"/>
              </w:rPr>
              <w:t>等保整改专项服务</w:t>
            </w:r>
          </w:p>
        </w:tc>
        <w:tc>
          <w:tcPr>
            <w:tcW w:w="1276" w:type="dxa"/>
            <w:noWrap w:val="0"/>
            <w:vAlign w:val="center"/>
          </w:tcPr>
          <w:p>
            <w:pPr>
              <w:spacing w:line="340" w:lineRule="exact"/>
              <w:ind w:left="-71" w:leftChars="-34" w:firstLine="42" w:firstLineChars="20"/>
              <w:jc w:val="left"/>
              <w:rPr>
                <w:rFonts w:ascii="宋体" w:hAnsi="宋体"/>
                <w:color w:val="000000"/>
                <w:szCs w:val="21"/>
              </w:rPr>
            </w:pPr>
            <w:r>
              <w:rPr>
                <w:rFonts w:hint="eastAsia" w:ascii="宋体" w:hAnsi="宋体"/>
                <w:color w:val="000000"/>
                <w:szCs w:val="21"/>
              </w:rPr>
              <w:t>定制</w:t>
            </w:r>
          </w:p>
        </w:tc>
        <w:tc>
          <w:tcPr>
            <w:tcW w:w="5145" w:type="dxa"/>
            <w:noWrap w:val="0"/>
            <w:vAlign w:val="center"/>
          </w:tcPr>
          <w:p>
            <w:pPr>
              <w:spacing w:line="340" w:lineRule="exact"/>
              <w:ind w:left="-71" w:leftChars="-34" w:firstLine="42" w:firstLineChars="20"/>
              <w:jc w:val="left"/>
              <w:rPr>
                <w:rFonts w:ascii="宋体" w:hAnsi="宋体"/>
                <w:color w:val="000000"/>
                <w:szCs w:val="21"/>
              </w:rPr>
            </w:pPr>
            <w:r>
              <w:rPr>
                <w:rFonts w:hint="eastAsia" w:ascii="宋体" w:hAnsi="宋体"/>
                <w:color w:val="000000"/>
                <w:szCs w:val="21"/>
              </w:rPr>
              <w:t>1、包含协助客户进行网络安全整改、机房物理环境整改、网络安全管理制度完善；质保期一年。</w:t>
            </w:r>
            <w:r>
              <w:rPr>
                <w:rFonts w:hint="eastAsia" w:ascii="宋体" w:hAnsi="宋体"/>
                <w:color w:val="000000"/>
                <w:szCs w:val="21"/>
              </w:rPr>
              <w:br w:type="textWrapping"/>
            </w:r>
            <w:r>
              <w:rPr>
                <w:rFonts w:hint="eastAsia" w:ascii="宋体" w:hAnsi="宋体"/>
                <w:color w:val="000000"/>
                <w:szCs w:val="21"/>
              </w:rPr>
              <w:t>2、指派专业人员定期对客户内外网进行检测，对信息系统在确保业务不间断的情况下进行安全检测，定期提供信息系统安全巡检汇报，使客户相关人员能够实时掌控信息系统的安全状况。对设备定期安全巡检，及时发现并消除网络故障和安全隐患，保障客户网络和系统处于健康、安全的状态，确保相关业务持续运行。</w:t>
            </w:r>
            <w:r>
              <w:rPr>
                <w:rFonts w:hint="eastAsia" w:ascii="宋体" w:hAnsi="宋体"/>
                <w:color w:val="000000"/>
                <w:szCs w:val="21"/>
              </w:rPr>
              <w:br w:type="textWrapping"/>
            </w:r>
            <w:r>
              <w:rPr>
                <w:rFonts w:hint="eastAsia" w:ascii="宋体" w:hAnsi="宋体"/>
                <w:color w:val="000000"/>
                <w:szCs w:val="21"/>
              </w:rPr>
              <w:t>3、指派具有丰富经验的安全服务人员定期对应用系统、操作系统、网设备及安全设备的安全日志、安全告警等进行检查，分析安全事件及其关联，查找攻击者的攻击目标和路径，如果发现问题及时与客户进行沟通，并提出解决方案和建议。</w:t>
            </w:r>
            <w:r>
              <w:rPr>
                <w:rFonts w:hint="eastAsia" w:ascii="宋体" w:hAnsi="宋体"/>
                <w:color w:val="000000"/>
                <w:szCs w:val="21"/>
              </w:rPr>
              <w:br w:type="textWrapping"/>
            </w:r>
            <w:r>
              <w:rPr>
                <w:rFonts w:hint="eastAsia" w:ascii="宋体" w:hAnsi="宋体"/>
                <w:color w:val="000000"/>
                <w:szCs w:val="21"/>
              </w:rPr>
              <w:t>4、网络信息搜集、端口扫描、远程溢出、口令猜测、本地溢出 、脚本测试 、渗透测试前后系统的状态等。</w:t>
            </w:r>
          </w:p>
        </w:tc>
        <w:tc>
          <w:tcPr>
            <w:tcW w:w="700"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1项</w:t>
            </w:r>
          </w:p>
        </w:tc>
        <w:tc>
          <w:tcPr>
            <w:tcW w:w="896"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0</w:t>
            </w:r>
          </w:p>
        </w:tc>
        <w:tc>
          <w:tcPr>
            <w:tcW w:w="913" w:type="dxa"/>
            <w:noWrap w:val="0"/>
            <w:vAlign w:val="center"/>
          </w:tcPr>
          <w:p>
            <w:pPr>
              <w:ind w:left="-71" w:leftChars="-34" w:firstLine="42" w:firstLineChars="20"/>
              <w:rPr>
                <w:rFonts w:hint="eastAsia" w:ascii="宋体" w:hAnsi="宋体"/>
                <w:color w:val="000000"/>
                <w:szCs w:val="21"/>
              </w:rPr>
            </w:pPr>
          </w:p>
        </w:tc>
        <w:tc>
          <w:tcPr>
            <w:tcW w:w="1134"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网络安全建设</w:t>
            </w:r>
          </w:p>
        </w:tc>
        <w:tc>
          <w:tcPr>
            <w:tcW w:w="992" w:type="dxa"/>
            <w:noWrap w:val="0"/>
            <w:vAlign w:val="center"/>
          </w:tcPr>
          <w:p>
            <w:pPr>
              <w:spacing w:line="0" w:lineRule="atLeast"/>
              <w:ind w:left="-71" w:leftChars="-34" w:firstLine="42" w:firstLineChars="20"/>
              <w:jc w:val="center"/>
              <w:rPr>
                <w:rFonts w:hint="eastAsia" w:ascii="宋体" w:hAnsi="宋体"/>
                <w:color w:val="000000"/>
                <w:szCs w:val="21"/>
              </w:rPr>
            </w:pPr>
            <w:r>
              <w:rPr>
                <w:rFonts w:hint="eastAsia" w:ascii="宋体" w:hAnsi="宋体"/>
                <w:color w:val="000000"/>
                <w:szCs w:val="21"/>
              </w:rPr>
              <w:t>2021.10.31</w:t>
            </w:r>
          </w:p>
        </w:tc>
        <w:tc>
          <w:tcPr>
            <w:tcW w:w="993" w:type="dxa"/>
            <w:noWrap w:val="0"/>
            <w:vAlign w:val="center"/>
          </w:tcPr>
          <w:p>
            <w:pPr>
              <w:spacing w:line="0" w:lineRule="atLeast"/>
              <w:ind w:left="-71" w:leftChars="-34" w:firstLine="42" w:firstLineChars="2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1" w:type="dxa"/>
            <w:noWrap w:val="0"/>
            <w:vAlign w:val="center"/>
          </w:tcPr>
          <w:p>
            <w:pPr>
              <w:spacing w:line="400" w:lineRule="exact"/>
              <w:ind w:left="-71" w:leftChars="-34" w:firstLine="42" w:firstLineChars="20"/>
              <w:jc w:val="center"/>
              <w:rPr>
                <w:rFonts w:hint="eastAsia" w:ascii="宋体" w:hAnsi="宋体"/>
                <w:color w:val="000000"/>
                <w:szCs w:val="21"/>
              </w:rPr>
            </w:pPr>
            <w:r>
              <w:rPr>
                <w:rFonts w:hint="eastAsia" w:ascii="宋体" w:hAnsi="宋体"/>
                <w:color w:val="000000"/>
                <w:szCs w:val="21"/>
              </w:rPr>
              <w:t>4</w:t>
            </w:r>
          </w:p>
        </w:tc>
        <w:tc>
          <w:tcPr>
            <w:tcW w:w="1075" w:type="dxa"/>
            <w:noWrap w:val="0"/>
            <w:vAlign w:val="center"/>
          </w:tcPr>
          <w:p>
            <w:pPr>
              <w:spacing w:line="340" w:lineRule="exact"/>
              <w:ind w:left="-71" w:leftChars="-34" w:firstLine="42" w:firstLineChars="20"/>
              <w:jc w:val="center"/>
              <w:rPr>
                <w:rFonts w:hint="eastAsia" w:ascii="宋体" w:hAnsi="宋体"/>
                <w:color w:val="000000"/>
                <w:szCs w:val="21"/>
              </w:rPr>
            </w:pPr>
            <w:r>
              <w:rPr>
                <w:rFonts w:hint="eastAsia" w:ascii="宋体" w:hAnsi="宋体"/>
                <w:color w:val="000000"/>
                <w:szCs w:val="21"/>
              </w:rPr>
              <w:t>信息与宣传中心</w:t>
            </w:r>
          </w:p>
        </w:tc>
        <w:tc>
          <w:tcPr>
            <w:tcW w:w="1134" w:type="dxa"/>
            <w:noWrap w:val="0"/>
            <w:vAlign w:val="center"/>
          </w:tcPr>
          <w:p>
            <w:pPr>
              <w:spacing w:line="340" w:lineRule="exact"/>
              <w:ind w:left="-71" w:leftChars="-34" w:firstLine="42" w:firstLineChars="20"/>
              <w:jc w:val="center"/>
              <w:rPr>
                <w:rFonts w:ascii="宋体" w:hAnsi="宋体"/>
                <w:color w:val="000000"/>
                <w:szCs w:val="21"/>
              </w:rPr>
            </w:pPr>
            <w:r>
              <w:rPr>
                <w:rFonts w:hint="eastAsia" w:ascii="宋体" w:hAnsi="宋体"/>
                <w:color w:val="000000"/>
                <w:szCs w:val="21"/>
              </w:rPr>
              <w:t>2021年度网络安全等级保护测评服务</w:t>
            </w:r>
          </w:p>
        </w:tc>
        <w:tc>
          <w:tcPr>
            <w:tcW w:w="1276" w:type="dxa"/>
            <w:noWrap w:val="0"/>
            <w:vAlign w:val="center"/>
          </w:tcPr>
          <w:p>
            <w:pPr>
              <w:spacing w:line="340" w:lineRule="exact"/>
              <w:ind w:left="-71" w:leftChars="-34" w:firstLine="42" w:firstLineChars="20"/>
              <w:jc w:val="center"/>
              <w:rPr>
                <w:rFonts w:ascii="宋体" w:hAnsi="宋体"/>
                <w:color w:val="000000"/>
                <w:szCs w:val="21"/>
              </w:rPr>
            </w:pPr>
            <w:r>
              <w:rPr>
                <w:rFonts w:hint="eastAsia" w:ascii="宋体" w:hAnsi="宋体"/>
                <w:color w:val="000000"/>
                <w:szCs w:val="21"/>
              </w:rPr>
              <w:t>参考型号：广西信息安全测评中心</w:t>
            </w:r>
          </w:p>
        </w:tc>
        <w:tc>
          <w:tcPr>
            <w:tcW w:w="5145" w:type="dxa"/>
            <w:noWrap w:val="0"/>
            <w:vAlign w:val="top"/>
          </w:tcPr>
          <w:p>
            <w:pPr>
              <w:spacing w:line="340" w:lineRule="exact"/>
              <w:ind w:left="-71" w:leftChars="-34" w:firstLine="42" w:firstLineChars="20"/>
              <w:jc w:val="left"/>
              <w:rPr>
                <w:rFonts w:hint="eastAsia" w:ascii="宋体" w:hAnsi="宋体"/>
                <w:color w:val="000000"/>
                <w:szCs w:val="21"/>
              </w:rPr>
            </w:pPr>
            <w:r>
              <w:rPr>
                <w:rFonts w:hint="eastAsia" w:ascii="宋体" w:hAnsi="宋体"/>
                <w:color w:val="000000"/>
                <w:szCs w:val="21"/>
              </w:rPr>
              <w:t>对广西交通技师学院“门户网站”系统进行</w:t>
            </w:r>
            <w:r>
              <w:rPr>
                <w:rFonts w:hint="eastAsia" w:ascii="宋体" w:hAnsi="宋体"/>
                <w:color w:val="000000"/>
                <w:szCs w:val="21"/>
                <w:lang w:val="en-US" w:eastAsia="zh-CN"/>
              </w:rPr>
              <w:t>网络安全</w:t>
            </w:r>
            <w:r>
              <w:rPr>
                <w:rFonts w:hint="eastAsia" w:ascii="宋体" w:hAnsi="宋体"/>
                <w:color w:val="000000"/>
                <w:szCs w:val="21"/>
              </w:rPr>
              <w:t>等级保护测评服务。（网络安全等级保护：二级）</w:t>
            </w:r>
            <w:r>
              <w:rPr>
                <w:rFonts w:hint="eastAsia" w:ascii="宋体" w:hAnsi="宋体"/>
                <w:color w:val="000000"/>
                <w:szCs w:val="21"/>
              </w:rPr>
              <w:br w:type="textWrapping"/>
            </w:r>
            <w:r>
              <w:rPr>
                <w:rFonts w:hint="eastAsia" w:ascii="宋体" w:hAnsi="宋体"/>
                <w:color w:val="000000"/>
                <w:szCs w:val="21"/>
              </w:rPr>
              <w:t>1、依据《信息安全等级保护管理办法》（公通字[2007]43号）和《网络安全等级保护定级指南》（GA/T  1839-2020）、《网络安全等级保护基本要求》（GB/T 22239-2019）对对广西交通技师学院“门户网站”系统开展安全等级（二级）测评工作，完成现场测评后正式等级测评并出具符合国家网络安全等级保护管理部门规范要求、公安机关认可的网络安全等级测评报告；</w:t>
            </w:r>
            <w:r>
              <w:rPr>
                <w:rFonts w:hint="eastAsia" w:ascii="宋体" w:hAnsi="宋体"/>
                <w:color w:val="000000"/>
                <w:szCs w:val="21"/>
              </w:rPr>
              <w:br w:type="textWrapping"/>
            </w:r>
            <w:r>
              <w:rPr>
                <w:rFonts w:hint="eastAsia" w:ascii="宋体" w:hAnsi="宋体"/>
                <w:color w:val="000000"/>
                <w:szCs w:val="21"/>
              </w:rPr>
              <w:t>2、上述信息系统的安全等级测评内容应包括技术和管理两大类，必要时需提供扩展方面的测评，其中技术类测评应包括对以下方面：</w:t>
            </w:r>
          </w:p>
          <w:p>
            <w:pPr>
              <w:spacing w:line="340" w:lineRule="exact"/>
              <w:ind w:left="-71" w:leftChars="-34" w:firstLine="42" w:firstLineChars="20"/>
              <w:jc w:val="left"/>
              <w:rPr>
                <w:rFonts w:hint="eastAsia" w:ascii="宋体" w:hAnsi="宋体"/>
                <w:color w:val="000000"/>
                <w:szCs w:val="21"/>
              </w:rPr>
            </w:pPr>
            <w:r>
              <w:rPr>
                <w:rFonts w:hint="eastAsia" w:ascii="宋体" w:hAnsi="宋体"/>
                <w:color w:val="000000"/>
                <w:szCs w:val="21"/>
              </w:rPr>
              <w:t>安全物理环境（物理位置选择、物理访问控制、防盗窃和防破坏、防雷击、防火、防水和防潮、防静电、温湿度控制、电力供应、电磁防护）；安全通信网络（网络架构、通信传输、可信验证）；安全区域边界（边界防护、访问控制、入侵防范、恶意代码和垃圾邮件防范、安全审计、可信验证）；安全计算环境（身份鉴别、访问控制、安全审计、入侵防范、恶意代码防范、可信验证、数据完整性、数据保密性、数据备份恢复、剩余信息保护、个人信息保护）；安全管理中心（系统管理、审计管理、安全管理、集中管控）；</w:t>
            </w:r>
          </w:p>
          <w:p>
            <w:pPr>
              <w:spacing w:line="340" w:lineRule="exact"/>
              <w:ind w:left="-71" w:leftChars="-34" w:firstLine="42" w:firstLineChars="20"/>
              <w:jc w:val="left"/>
              <w:rPr>
                <w:rFonts w:hint="eastAsia" w:ascii="宋体" w:hAnsi="宋体"/>
                <w:color w:val="000000"/>
                <w:szCs w:val="21"/>
              </w:rPr>
            </w:pPr>
            <w:r>
              <w:rPr>
                <w:rFonts w:hint="eastAsia" w:ascii="宋体" w:hAnsi="宋体"/>
                <w:color w:val="000000"/>
                <w:szCs w:val="21"/>
              </w:rPr>
              <w:t>管理类测评应包括对以下方面：</w:t>
            </w:r>
          </w:p>
          <w:p>
            <w:pPr>
              <w:spacing w:line="340" w:lineRule="exact"/>
              <w:ind w:left="-71" w:leftChars="-34" w:firstLine="42" w:firstLineChars="20"/>
              <w:jc w:val="left"/>
              <w:rPr>
                <w:rFonts w:hint="eastAsia" w:ascii="宋体" w:hAnsi="宋体"/>
                <w:color w:val="000000"/>
                <w:szCs w:val="21"/>
              </w:rPr>
            </w:pPr>
            <w:r>
              <w:rPr>
                <w:rFonts w:hint="eastAsia" w:ascii="宋体" w:hAnsi="宋体"/>
                <w:color w:val="000000"/>
                <w:szCs w:val="21"/>
              </w:rPr>
              <w:t>安全管理制度（安全策略、管理制度、制度和发布、评审和修订）；安全管理机构（岗位设置、人员配备、授权和审批、沟通和合作、审核和检查）；安全管理人员（人员录用、人员离岗、安全意识教育和培训、外部人员访问管理）；安全建设管理（定级和备份、安全方案设计、产品采购和使用、自行软件开发、外包软件开发、工程实施、测试验收、系统交付、等级测评、服务供应商选择）；安全运维管理（环境管理、资产管理、介质管理、设备维护管理、漏洞和风险管理、网络和系统安全管理、恶意代码防范管理、配置管理、密码管理、变更管理、备份与恢复管理、安全事件处置、应急预案管理、外包运维管理）；</w:t>
            </w:r>
          </w:p>
          <w:p>
            <w:pPr>
              <w:spacing w:line="340" w:lineRule="exact"/>
              <w:ind w:left="-71" w:leftChars="-34" w:firstLine="42" w:firstLineChars="20"/>
              <w:jc w:val="left"/>
              <w:rPr>
                <w:rFonts w:hint="eastAsia" w:ascii="宋体" w:hAnsi="宋体"/>
                <w:color w:val="000000"/>
                <w:szCs w:val="21"/>
              </w:rPr>
            </w:pPr>
            <w:r>
              <w:rPr>
                <w:rFonts w:hint="eastAsia" w:ascii="宋体" w:hAnsi="宋体"/>
                <w:color w:val="000000"/>
                <w:szCs w:val="21"/>
              </w:rPr>
              <w:t>云扩展测评包含以下几个方面：安全物理环境（基础设施位置）；安全通信网络（网络架构）；安全区域边界（访问控制、入侵防范、安全审计）；安全计算环境（身份鉴别、访问控制、入侵防范、镜像和快照保护、数据完整性和数据保密性、数据备份恢复、剩余信息保护）；安全管理中心（集中管控）；安全建设管理（云服务商选择、供应链管理）；安全运维管理（云计算环境管理）；</w:t>
            </w:r>
            <w:r>
              <w:rPr>
                <w:rFonts w:hint="eastAsia" w:ascii="宋体" w:hAnsi="宋体"/>
                <w:color w:val="000000"/>
                <w:szCs w:val="21"/>
              </w:rPr>
              <w:br w:type="textWrapping"/>
            </w:r>
            <w:r>
              <w:rPr>
                <w:rFonts w:hint="eastAsia" w:ascii="宋体" w:hAnsi="宋体"/>
                <w:color w:val="000000"/>
                <w:szCs w:val="21"/>
              </w:rPr>
              <w:t>在测评结束后提出安全整改建议；</w:t>
            </w:r>
          </w:p>
          <w:p>
            <w:pPr>
              <w:spacing w:line="340" w:lineRule="exact"/>
              <w:ind w:left="-71" w:leftChars="-34" w:firstLine="42" w:firstLineChars="20"/>
              <w:jc w:val="left"/>
              <w:rPr>
                <w:rFonts w:ascii="宋体" w:hAnsi="宋体"/>
                <w:color w:val="000000"/>
                <w:szCs w:val="21"/>
              </w:rPr>
            </w:pPr>
            <w:r>
              <w:rPr>
                <w:rFonts w:hint="eastAsia" w:ascii="宋体" w:hAnsi="宋体"/>
                <w:color w:val="000000"/>
                <w:szCs w:val="21"/>
              </w:rPr>
              <w:t>3、在等级保护测评过程中，应采用访谈、检查、测试、工具扫描等国际国内认可的先进方法和手段进行，并与国家相关规范及标准的要求相符。必须采用专业的国内安全扫描设备及软件产品辅助测评工作的完成。在投标文件中详细描述所采用的测评方法。</w:t>
            </w:r>
            <w:r>
              <w:rPr>
                <w:rFonts w:hint="eastAsia" w:ascii="宋体" w:hAnsi="宋体"/>
                <w:color w:val="000000"/>
                <w:szCs w:val="21"/>
              </w:rPr>
              <w:br w:type="textWrapping"/>
            </w:r>
            <w:r>
              <w:rPr>
                <w:rFonts w:hint="eastAsia" w:ascii="宋体" w:hAnsi="宋体"/>
                <w:color w:val="000000"/>
                <w:szCs w:val="21"/>
              </w:rPr>
              <w:t>★4、</w:t>
            </w:r>
            <w:r>
              <w:rPr>
                <w:rFonts w:hint="eastAsia" w:ascii="宋体" w:hAnsi="宋体" w:eastAsia="宋体" w:cs="Times New Roman"/>
                <w:color w:val="000000"/>
                <w:szCs w:val="21"/>
                <w:lang w:val="en-US" w:eastAsia="zh-CN"/>
              </w:rPr>
              <w:t>所投</w:t>
            </w:r>
            <w:r>
              <w:rPr>
                <w:rFonts w:hint="eastAsia" w:ascii="宋体" w:hAnsi="宋体" w:eastAsia="宋体" w:cs="Times New Roman"/>
                <w:color w:val="000000"/>
                <w:szCs w:val="21"/>
              </w:rPr>
              <w:t>网络安全等级保护测评</w:t>
            </w:r>
            <w:r>
              <w:rPr>
                <w:rFonts w:hint="eastAsia" w:ascii="宋体" w:hAnsi="宋体" w:eastAsia="宋体" w:cs="Times New Roman"/>
                <w:color w:val="000000"/>
                <w:szCs w:val="21"/>
                <w:lang w:val="en-US" w:eastAsia="zh-CN"/>
              </w:rPr>
              <w:t>机构</w:t>
            </w:r>
            <w:r>
              <w:rPr>
                <w:rFonts w:hint="eastAsia" w:ascii="宋体" w:hAnsi="宋体"/>
                <w:color w:val="000000"/>
                <w:szCs w:val="21"/>
              </w:rPr>
              <w:t>必须是等保测评机构且在中国网络安全等级保护网（www.djbh.net）中等级保护测评机构推荐目录中可查询到；</w:t>
            </w:r>
            <w:r>
              <w:rPr>
                <w:rFonts w:hint="eastAsia" w:ascii="宋体" w:hAnsi="宋体"/>
                <w:color w:val="000000"/>
                <w:szCs w:val="21"/>
              </w:rPr>
              <w:br w:type="textWrapping"/>
            </w:r>
            <w:r>
              <w:rPr>
                <w:rFonts w:hint="eastAsia" w:ascii="宋体" w:hAnsi="宋体"/>
                <w:color w:val="000000"/>
                <w:szCs w:val="21"/>
              </w:rPr>
              <w:t>★5、</w:t>
            </w:r>
            <w:r>
              <w:rPr>
                <w:rFonts w:hint="eastAsia" w:ascii="宋体" w:hAnsi="宋体" w:eastAsia="宋体" w:cs="Times New Roman"/>
                <w:color w:val="000000"/>
                <w:szCs w:val="21"/>
                <w:lang w:val="en-US" w:eastAsia="zh-CN"/>
              </w:rPr>
              <w:t>所投</w:t>
            </w:r>
            <w:r>
              <w:rPr>
                <w:rFonts w:hint="eastAsia" w:ascii="宋体" w:hAnsi="宋体" w:eastAsia="宋体" w:cs="Times New Roman"/>
                <w:color w:val="000000"/>
                <w:szCs w:val="21"/>
              </w:rPr>
              <w:t>网络安全等级保护测评</w:t>
            </w:r>
            <w:r>
              <w:rPr>
                <w:rFonts w:hint="eastAsia" w:ascii="宋体" w:hAnsi="宋体" w:eastAsia="宋体" w:cs="Times New Roman"/>
                <w:color w:val="000000"/>
                <w:szCs w:val="21"/>
                <w:lang w:val="en-US" w:eastAsia="zh-CN"/>
              </w:rPr>
              <w:t>机构</w:t>
            </w:r>
            <w:r>
              <w:rPr>
                <w:rFonts w:hint="eastAsia" w:ascii="宋体" w:hAnsi="宋体" w:eastAsia="宋体" w:cs="Times New Roman"/>
                <w:color w:val="000000"/>
                <w:szCs w:val="21"/>
              </w:rPr>
              <w:t>必须通过省级信息安全等级保护工作协调小组的审查，并</w:t>
            </w:r>
            <w:r>
              <w:rPr>
                <w:rFonts w:hint="eastAsia" w:ascii="宋体" w:hAnsi="宋体"/>
                <w:color w:val="000000"/>
                <w:szCs w:val="21"/>
              </w:rPr>
              <w:t>获得《信息安全等级保护测评机构推荐证书》，</w:t>
            </w:r>
            <w:r>
              <w:rPr>
                <w:rFonts w:hint="eastAsia" w:ascii="宋体" w:hAnsi="宋体"/>
                <w:color w:val="000000"/>
                <w:szCs w:val="21"/>
                <w:lang w:eastAsia="zh-CN"/>
              </w:rPr>
              <w:t>竞标时必须提供</w:t>
            </w:r>
            <w:r>
              <w:rPr>
                <w:rFonts w:hint="eastAsia" w:ascii="宋体" w:hAnsi="宋体"/>
                <w:color w:val="000000"/>
                <w:szCs w:val="21"/>
              </w:rPr>
              <w:t>相关资质等证明材料复印件；</w:t>
            </w:r>
            <w:r>
              <w:rPr>
                <w:rFonts w:hint="eastAsia" w:ascii="宋体" w:hAnsi="宋体"/>
                <w:color w:val="000000"/>
                <w:szCs w:val="21"/>
              </w:rPr>
              <w:br w:type="textWrapping"/>
            </w:r>
            <w:r>
              <w:rPr>
                <w:rFonts w:hint="eastAsia" w:ascii="宋体" w:hAnsi="宋体"/>
                <w:color w:val="000000"/>
                <w:szCs w:val="21"/>
              </w:rPr>
              <w:t>★6、</w:t>
            </w:r>
            <w:r>
              <w:rPr>
                <w:rFonts w:hint="eastAsia" w:ascii="宋体" w:hAnsi="宋体" w:eastAsia="宋体" w:cs="Times New Roman"/>
                <w:color w:val="000000"/>
                <w:szCs w:val="21"/>
                <w:lang w:val="en-US" w:eastAsia="zh-CN"/>
              </w:rPr>
              <w:t>所投网络安全等级保护测评机构的测评人员须具备公安部信息安全等级保护评估中心</w:t>
            </w:r>
            <w:r>
              <w:rPr>
                <w:rFonts w:hint="eastAsia" w:ascii="宋体" w:hAnsi="宋体"/>
                <w:color w:val="000000"/>
                <w:szCs w:val="21"/>
              </w:rPr>
              <w:t>颁发的《信息安全等级测评师证书》，</w:t>
            </w:r>
            <w:r>
              <w:rPr>
                <w:rFonts w:hint="eastAsia" w:ascii="宋体" w:hAnsi="宋体"/>
                <w:color w:val="000000"/>
                <w:szCs w:val="21"/>
                <w:lang w:eastAsia="zh-CN"/>
              </w:rPr>
              <w:t>竞标时必须提供</w:t>
            </w:r>
            <w:r>
              <w:rPr>
                <w:rFonts w:hint="eastAsia" w:ascii="宋体" w:hAnsi="宋体"/>
                <w:color w:val="000000"/>
                <w:szCs w:val="21"/>
              </w:rPr>
              <w:t>相关资质等证明材料复印件；</w:t>
            </w:r>
            <w:r>
              <w:rPr>
                <w:rFonts w:hint="eastAsia" w:ascii="宋体" w:hAnsi="宋体"/>
                <w:color w:val="000000"/>
                <w:szCs w:val="21"/>
              </w:rPr>
              <w:br w:type="textWrapping"/>
            </w:r>
            <w:r>
              <w:rPr>
                <w:rFonts w:hint="eastAsia" w:ascii="宋体" w:hAnsi="宋体"/>
                <w:color w:val="000000"/>
                <w:szCs w:val="21"/>
              </w:rPr>
              <w:t>★7、</w:t>
            </w:r>
            <w:r>
              <w:rPr>
                <w:rFonts w:hint="eastAsia" w:ascii="宋体" w:hAnsi="宋体"/>
                <w:color w:val="000000"/>
                <w:szCs w:val="21"/>
                <w:lang w:eastAsia="zh-CN"/>
              </w:rPr>
              <w:t>竞标时必须提供</w:t>
            </w:r>
            <w:r>
              <w:rPr>
                <w:rFonts w:hint="eastAsia" w:ascii="宋体" w:hAnsi="宋体"/>
                <w:color w:val="000000"/>
                <w:szCs w:val="21"/>
              </w:rPr>
              <w:t>针对本项目的</w:t>
            </w:r>
            <w:r>
              <w:rPr>
                <w:rFonts w:hint="eastAsia" w:ascii="宋体" w:hAnsi="宋体"/>
                <w:color w:val="000000"/>
                <w:szCs w:val="21"/>
                <w:lang w:val="en-US" w:eastAsia="zh-CN"/>
              </w:rPr>
              <w:t>测评</w:t>
            </w:r>
            <w:r>
              <w:rPr>
                <w:rFonts w:hint="eastAsia" w:ascii="宋体" w:hAnsi="宋体"/>
                <w:color w:val="000000"/>
                <w:szCs w:val="21"/>
              </w:rPr>
              <w:t>、</w:t>
            </w:r>
            <w:r>
              <w:rPr>
                <w:rFonts w:hint="eastAsia" w:ascii="宋体" w:hAnsi="宋体"/>
                <w:color w:val="000000"/>
                <w:szCs w:val="21"/>
                <w:lang w:val="en-US" w:eastAsia="zh-CN"/>
              </w:rPr>
              <w:t>服务</w:t>
            </w:r>
            <w:r>
              <w:rPr>
                <w:rFonts w:hint="eastAsia" w:ascii="宋体" w:hAnsi="宋体"/>
                <w:color w:val="000000"/>
                <w:szCs w:val="21"/>
              </w:rPr>
              <w:t>方案；</w:t>
            </w:r>
            <w:r>
              <w:rPr>
                <w:rFonts w:hint="eastAsia" w:ascii="宋体" w:hAnsi="宋体"/>
                <w:color w:val="000000"/>
                <w:szCs w:val="21"/>
              </w:rPr>
              <w:br w:type="textWrapping"/>
            </w:r>
            <w:r>
              <w:rPr>
                <w:rFonts w:hint="eastAsia" w:ascii="宋体" w:hAnsi="宋体"/>
                <w:color w:val="000000"/>
                <w:szCs w:val="21"/>
              </w:rPr>
              <w:t>★8、在现场测评操作时不得少于 5名测评师。</w:t>
            </w:r>
            <w:r>
              <w:rPr>
                <w:rFonts w:hint="eastAsia" w:ascii="宋体" w:hAnsi="宋体"/>
                <w:color w:val="000000"/>
                <w:szCs w:val="21"/>
                <w:lang w:eastAsia="zh-CN"/>
              </w:rPr>
              <w:t>竞标时必须提供</w:t>
            </w:r>
            <w:r>
              <w:rPr>
                <w:rFonts w:hint="eastAsia" w:ascii="宋体" w:hAnsi="宋体"/>
                <w:color w:val="000000"/>
                <w:szCs w:val="21"/>
              </w:rPr>
              <w:t>拟投入评测师人员的相关资格证书复印件；</w:t>
            </w:r>
            <w:r>
              <w:rPr>
                <w:rFonts w:hint="eastAsia" w:ascii="宋体" w:hAnsi="宋体"/>
                <w:color w:val="000000"/>
                <w:szCs w:val="21"/>
              </w:rPr>
              <w:br w:type="textWrapping"/>
            </w:r>
            <w:r>
              <w:rPr>
                <w:rFonts w:hint="eastAsia" w:ascii="宋体" w:hAnsi="宋体"/>
                <w:color w:val="000000"/>
                <w:szCs w:val="21"/>
              </w:rPr>
              <w:t>★9、项目实施间，必须安排至少安排5人常驻采购人单位在现场提供相关服务和技术支持，其中 1 人为高级测评师， 2人为中级测评师， 2 人为初级测评师。</w:t>
            </w:r>
          </w:p>
        </w:tc>
        <w:tc>
          <w:tcPr>
            <w:tcW w:w="700"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1项</w:t>
            </w:r>
          </w:p>
        </w:tc>
        <w:tc>
          <w:tcPr>
            <w:tcW w:w="896" w:type="dxa"/>
            <w:noWrap w:val="0"/>
            <w:vAlign w:val="center"/>
          </w:tcPr>
          <w:p>
            <w:pPr>
              <w:ind w:left="-71" w:leftChars="-34" w:firstLine="42" w:firstLineChars="20"/>
              <w:jc w:val="center"/>
              <w:rPr>
                <w:rFonts w:hint="eastAsia" w:ascii="宋体" w:hAnsi="宋体"/>
                <w:color w:val="000000"/>
                <w:szCs w:val="21"/>
              </w:rPr>
            </w:pPr>
          </w:p>
        </w:tc>
        <w:tc>
          <w:tcPr>
            <w:tcW w:w="913" w:type="dxa"/>
            <w:noWrap w:val="0"/>
            <w:vAlign w:val="center"/>
          </w:tcPr>
          <w:p>
            <w:pPr>
              <w:ind w:left="-71" w:leftChars="-34" w:firstLine="42" w:firstLineChars="20"/>
              <w:jc w:val="center"/>
              <w:rPr>
                <w:rFonts w:hint="eastAsia" w:ascii="宋体" w:hAnsi="宋体"/>
                <w:color w:val="000000"/>
                <w:szCs w:val="21"/>
              </w:rPr>
            </w:pPr>
          </w:p>
        </w:tc>
        <w:tc>
          <w:tcPr>
            <w:tcW w:w="1134" w:type="dxa"/>
            <w:noWrap w:val="0"/>
            <w:vAlign w:val="center"/>
          </w:tcPr>
          <w:p>
            <w:pPr>
              <w:ind w:left="-71" w:leftChars="-34" w:firstLine="42" w:firstLineChars="20"/>
              <w:jc w:val="center"/>
              <w:rPr>
                <w:rFonts w:hint="eastAsia" w:ascii="宋体" w:hAnsi="宋体"/>
                <w:color w:val="000000"/>
                <w:szCs w:val="21"/>
              </w:rPr>
            </w:pPr>
            <w:r>
              <w:rPr>
                <w:rFonts w:hint="eastAsia" w:ascii="宋体" w:hAnsi="宋体"/>
                <w:color w:val="000000"/>
                <w:szCs w:val="21"/>
              </w:rPr>
              <w:t>网络安全建设</w:t>
            </w:r>
          </w:p>
        </w:tc>
        <w:tc>
          <w:tcPr>
            <w:tcW w:w="992" w:type="dxa"/>
            <w:noWrap w:val="0"/>
            <w:vAlign w:val="center"/>
          </w:tcPr>
          <w:p>
            <w:pPr>
              <w:spacing w:line="0" w:lineRule="atLeast"/>
              <w:ind w:left="-71" w:leftChars="-34" w:firstLine="42" w:firstLineChars="20"/>
              <w:jc w:val="center"/>
              <w:rPr>
                <w:rFonts w:hint="eastAsia" w:ascii="宋体" w:hAnsi="宋体"/>
                <w:color w:val="000000"/>
                <w:szCs w:val="21"/>
              </w:rPr>
            </w:pPr>
            <w:r>
              <w:rPr>
                <w:rFonts w:hint="eastAsia" w:ascii="宋体" w:hAnsi="宋体"/>
                <w:color w:val="000000"/>
                <w:szCs w:val="21"/>
              </w:rPr>
              <w:t>2021.10.31</w:t>
            </w:r>
          </w:p>
        </w:tc>
        <w:tc>
          <w:tcPr>
            <w:tcW w:w="993" w:type="dxa"/>
            <w:noWrap w:val="0"/>
            <w:vAlign w:val="center"/>
          </w:tcPr>
          <w:p>
            <w:pPr>
              <w:spacing w:line="0" w:lineRule="atLeast"/>
              <w:ind w:left="-71" w:leftChars="-34" w:firstLine="42" w:firstLineChars="2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1" w:type="dxa"/>
            <w:noWrap w:val="0"/>
            <w:vAlign w:val="center"/>
          </w:tcPr>
          <w:p>
            <w:pPr>
              <w:spacing w:line="400" w:lineRule="exact"/>
              <w:ind w:left="-71" w:leftChars="-34" w:firstLine="42" w:firstLineChars="20"/>
              <w:jc w:val="center"/>
              <w:rPr>
                <w:rFonts w:hint="eastAsia" w:ascii="宋体" w:hAnsi="宋体"/>
                <w:color w:val="000000"/>
                <w:szCs w:val="21"/>
              </w:rPr>
            </w:pPr>
            <w:r>
              <w:rPr>
                <w:rFonts w:hint="eastAsia" w:ascii="宋体" w:hAnsi="宋体"/>
                <w:color w:val="000000"/>
                <w:szCs w:val="21"/>
              </w:rPr>
              <w:t>5</w:t>
            </w:r>
          </w:p>
        </w:tc>
        <w:tc>
          <w:tcPr>
            <w:tcW w:w="1075" w:type="dxa"/>
            <w:noWrap w:val="0"/>
            <w:vAlign w:val="center"/>
          </w:tcPr>
          <w:p>
            <w:pPr>
              <w:spacing w:line="340" w:lineRule="exact"/>
              <w:ind w:left="-71" w:leftChars="-34" w:firstLine="42" w:firstLineChars="20"/>
              <w:jc w:val="center"/>
              <w:rPr>
                <w:rFonts w:hint="eastAsia" w:ascii="宋体" w:hAnsi="宋体"/>
                <w:color w:val="000000"/>
                <w:szCs w:val="21"/>
              </w:rPr>
            </w:pPr>
            <w:r>
              <w:rPr>
                <w:rFonts w:hint="eastAsia" w:ascii="宋体" w:hAnsi="宋体"/>
                <w:color w:val="000000"/>
                <w:szCs w:val="21"/>
              </w:rPr>
              <w:t>信息与宣传中心</w:t>
            </w:r>
          </w:p>
        </w:tc>
        <w:tc>
          <w:tcPr>
            <w:tcW w:w="1134" w:type="dxa"/>
            <w:noWrap w:val="0"/>
            <w:vAlign w:val="center"/>
          </w:tcPr>
          <w:p>
            <w:pPr>
              <w:spacing w:line="340" w:lineRule="exact"/>
              <w:ind w:left="-71" w:leftChars="-34" w:firstLine="42" w:firstLineChars="20"/>
              <w:jc w:val="center"/>
              <w:rPr>
                <w:rFonts w:hint="eastAsia" w:ascii="宋体" w:hAnsi="宋体"/>
                <w:color w:val="000000"/>
                <w:szCs w:val="21"/>
              </w:rPr>
            </w:pPr>
            <w:r>
              <w:rPr>
                <w:rFonts w:hint="eastAsia" w:ascii="宋体" w:hAnsi="宋体"/>
                <w:color w:val="000000"/>
                <w:szCs w:val="21"/>
              </w:rPr>
              <w:t>系统迁移升级</w:t>
            </w:r>
          </w:p>
        </w:tc>
        <w:tc>
          <w:tcPr>
            <w:tcW w:w="1276" w:type="dxa"/>
            <w:noWrap w:val="0"/>
            <w:vAlign w:val="center"/>
          </w:tcPr>
          <w:p>
            <w:pPr>
              <w:spacing w:line="340" w:lineRule="exact"/>
              <w:ind w:left="-71" w:leftChars="-34" w:firstLine="42" w:firstLineChars="20"/>
              <w:jc w:val="center"/>
              <w:rPr>
                <w:rFonts w:hint="eastAsia" w:ascii="宋体" w:hAnsi="宋体"/>
                <w:color w:val="000000"/>
                <w:szCs w:val="21"/>
              </w:rPr>
            </w:pPr>
            <w:r>
              <w:rPr>
                <w:rFonts w:hint="eastAsia" w:ascii="宋体" w:hAnsi="宋体"/>
                <w:color w:val="000000"/>
                <w:szCs w:val="21"/>
              </w:rPr>
              <w:t>定制</w:t>
            </w:r>
          </w:p>
        </w:tc>
        <w:tc>
          <w:tcPr>
            <w:tcW w:w="5145" w:type="dxa"/>
            <w:noWrap w:val="0"/>
            <w:vAlign w:val="top"/>
          </w:tcPr>
          <w:p>
            <w:pPr>
              <w:numPr>
                <w:ilvl w:val="0"/>
                <w:numId w:val="5"/>
              </w:numPr>
              <w:spacing w:line="340" w:lineRule="exact"/>
              <w:jc w:val="left"/>
              <w:rPr>
                <w:rFonts w:hint="eastAsia" w:ascii="宋体" w:hAnsi="宋体"/>
                <w:color w:val="000000"/>
                <w:szCs w:val="21"/>
              </w:rPr>
            </w:pPr>
            <w:r>
              <w:rPr>
                <w:rFonts w:hint="eastAsia" w:ascii="宋体" w:hAnsi="宋体"/>
                <w:color w:val="000000"/>
                <w:szCs w:val="21"/>
              </w:rPr>
              <w:t>数据迁移</w:t>
            </w:r>
          </w:p>
          <w:p>
            <w:pPr>
              <w:spacing w:line="360" w:lineRule="exact"/>
              <w:rPr>
                <w:rFonts w:hint="eastAsia" w:ascii="宋体" w:hAnsi="宋体"/>
                <w:color w:val="000000"/>
                <w:szCs w:val="21"/>
              </w:rPr>
            </w:pPr>
            <w:r>
              <w:rPr>
                <w:rFonts w:hint="eastAsia" w:ascii="宋体" w:hAnsi="宋体"/>
                <w:color w:val="000000"/>
                <w:szCs w:val="21"/>
              </w:rPr>
              <w:t>★1、对有故障的存设备进行数据恢复迁移，存储总容量约75T；</w:t>
            </w:r>
          </w:p>
          <w:p>
            <w:pPr>
              <w:spacing w:line="360" w:lineRule="exact"/>
              <w:rPr>
                <w:rFonts w:hint="eastAsia" w:ascii="宋体" w:hAnsi="宋体"/>
                <w:color w:val="000000"/>
                <w:szCs w:val="21"/>
              </w:rPr>
            </w:pPr>
            <w:r>
              <w:rPr>
                <w:rFonts w:hint="eastAsia" w:ascii="宋体" w:hAnsi="宋体"/>
                <w:color w:val="000000"/>
                <w:szCs w:val="21"/>
              </w:rPr>
              <w:t>★2、必须完整恢复一卡通系统、教务系统、学费系统、电控系统、学生管理系统、全国文明校园网、教学资源库的所有数据，并验证可用；</w:t>
            </w:r>
          </w:p>
          <w:p>
            <w:pPr>
              <w:spacing w:line="360" w:lineRule="exact"/>
              <w:rPr>
                <w:rFonts w:hint="eastAsia" w:ascii="宋体" w:hAnsi="宋体"/>
                <w:color w:val="000000"/>
                <w:szCs w:val="21"/>
              </w:rPr>
            </w:pPr>
            <w:r>
              <w:rPr>
                <w:rFonts w:hint="eastAsia" w:ascii="宋体" w:hAnsi="宋体"/>
                <w:color w:val="000000"/>
                <w:szCs w:val="21"/>
              </w:rPr>
              <w:t>★3、OA系统数据库的恢复程度必须达到故障前15天，图书管理至少恢复到2020年6月份以前的数据；</w:t>
            </w:r>
          </w:p>
          <w:p>
            <w:pPr>
              <w:spacing w:line="360" w:lineRule="exact"/>
              <w:rPr>
                <w:rFonts w:hint="eastAsia" w:ascii="宋体" w:hAnsi="宋体"/>
                <w:color w:val="000000"/>
                <w:szCs w:val="21"/>
              </w:rPr>
            </w:pPr>
            <w:r>
              <w:rPr>
                <w:rFonts w:hint="eastAsia" w:ascii="宋体" w:hAnsi="宋体"/>
                <w:color w:val="000000"/>
                <w:szCs w:val="21"/>
              </w:rPr>
              <w:t>★4、教学系统至少完整改恢复7个以上虚拟机，并验证可用；</w:t>
            </w:r>
          </w:p>
          <w:p>
            <w:pPr>
              <w:spacing w:line="360" w:lineRule="exact"/>
              <w:rPr>
                <w:rFonts w:hint="eastAsia" w:ascii="宋体" w:hAnsi="宋体"/>
                <w:color w:val="000000"/>
                <w:szCs w:val="21"/>
              </w:rPr>
            </w:pPr>
            <w:r>
              <w:rPr>
                <w:rFonts w:hint="eastAsia" w:ascii="宋体" w:hAnsi="宋体"/>
                <w:color w:val="000000"/>
                <w:szCs w:val="21"/>
              </w:rPr>
              <w:t>★5、绩效工资系统必须恢复有可用的基础数据</w:t>
            </w:r>
          </w:p>
          <w:p>
            <w:pPr>
              <w:spacing w:line="360" w:lineRule="exact"/>
              <w:rPr>
                <w:rFonts w:hint="eastAsia" w:ascii="宋体" w:hAnsi="宋体"/>
                <w:color w:val="000000"/>
                <w:szCs w:val="21"/>
              </w:rPr>
            </w:pPr>
            <w:r>
              <w:rPr>
                <w:rFonts w:hint="eastAsia" w:ascii="宋体" w:hAnsi="宋体"/>
                <w:color w:val="000000"/>
                <w:szCs w:val="21"/>
              </w:rPr>
              <w:t>6、对于其他系</w:t>
            </w:r>
            <w:r>
              <w:rPr>
                <w:rFonts w:hint="eastAsia" w:ascii="宋体" w:hAnsi="宋体" w:eastAsia="宋体" w:cs="Times New Roman"/>
                <w:color w:val="000000"/>
                <w:szCs w:val="21"/>
              </w:rPr>
              <w:t>统，供应商必须全程配合扫描存</w:t>
            </w:r>
            <w:r>
              <w:rPr>
                <w:rFonts w:hint="eastAsia" w:ascii="宋体" w:hAnsi="宋体"/>
                <w:color w:val="000000"/>
                <w:szCs w:val="21"/>
              </w:rPr>
              <w:t>储进行恢复数据。</w:t>
            </w:r>
          </w:p>
          <w:p>
            <w:pPr>
              <w:spacing w:line="340" w:lineRule="exact"/>
              <w:jc w:val="left"/>
              <w:rPr>
                <w:rFonts w:hint="eastAsia" w:ascii="宋体" w:hAnsi="宋体"/>
                <w:color w:val="000000"/>
                <w:szCs w:val="21"/>
              </w:rPr>
            </w:pPr>
            <w:r>
              <w:rPr>
                <w:rFonts w:hint="eastAsia" w:ascii="宋体" w:hAnsi="宋体"/>
                <w:color w:val="000000"/>
                <w:szCs w:val="21"/>
              </w:rPr>
              <w:t>7、以上数据恢复后，迁移到可用存储。</w:t>
            </w:r>
          </w:p>
          <w:p>
            <w:pPr>
              <w:spacing w:line="340" w:lineRule="exact"/>
              <w:jc w:val="left"/>
              <w:rPr>
                <w:rFonts w:hint="eastAsia" w:ascii="宋体" w:hAnsi="宋体"/>
                <w:color w:val="000000"/>
                <w:szCs w:val="21"/>
              </w:rPr>
            </w:pPr>
            <w:r>
              <w:rPr>
                <w:rFonts w:hint="eastAsia" w:ascii="宋体" w:hAnsi="宋体"/>
                <w:color w:val="000000"/>
                <w:szCs w:val="21"/>
              </w:rPr>
              <w:t>二、虚拟化平台升级</w:t>
            </w:r>
          </w:p>
          <w:p>
            <w:pPr>
              <w:spacing w:line="360" w:lineRule="exact"/>
              <w:rPr>
                <w:rFonts w:hint="eastAsia" w:ascii="宋体" w:hAnsi="宋体"/>
                <w:color w:val="000000"/>
                <w:szCs w:val="21"/>
              </w:rPr>
            </w:pPr>
            <w:r>
              <w:rPr>
                <w:rFonts w:hint="eastAsia" w:ascii="宋体" w:hAnsi="宋体"/>
                <w:color w:val="000000"/>
                <w:szCs w:val="21"/>
              </w:rPr>
              <w:t>★1、对虚拟化平台进行升级，由6.0升级至6.7；</w:t>
            </w:r>
          </w:p>
          <w:p>
            <w:pPr>
              <w:spacing w:line="360" w:lineRule="exact"/>
              <w:rPr>
                <w:rFonts w:hint="eastAsia" w:ascii="宋体" w:hAnsi="宋体"/>
                <w:color w:val="000000"/>
                <w:szCs w:val="21"/>
              </w:rPr>
            </w:pPr>
            <w:r>
              <w:rPr>
                <w:rFonts w:hint="eastAsia" w:ascii="宋体" w:hAnsi="宋体"/>
                <w:color w:val="000000"/>
                <w:szCs w:val="21"/>
              </w:rPr>
              <w:t>★2、需安装部署的主机11台（主要为操作系统安装调试），虚拟机约70个；</w:t>
            </w:r>
          </w:p>
          <w:p>
            <w:pPr>
              <w:numPr>
                <w:ilvl w:val="0"/>
                <w:numId w:val="6"/>
              </w:numPr>
              <w:spacing w:line="360" w:lineRule="exact"/>
              <w:jc w:val="left"/>
              <w:rPr>
                <w:rFonts w:hint="eastAsia" w:ascii="宋体" w:hAnsi="宋体"/>
                <w:color w:val="000000"/>
                <w:szCs w:val="21"/>
              </w:rPr>
            </w:pPr>
            <w:r>
              <w:rPr>
                <w:rFonts w:hint="eastAsia" w:ascii="宋体" w:hAnsi="宋体"/>
                <w:color w:val="000000"/>
                <w:szCs w:val="21"/>
              </w:rPr>
              <w:t>包含光纤通道的、存储设备、VLAN等的配置。</w:t>
            </w:r>
          </w:p>
          <w:p>
            <w:pPr>
              <w:spacing w:line="340" w:lineRule="exact"/>
              <w:jc w:val="left"/>
              <w:rPr>
                <w:rFonts w:hint="eastAsia" w:ascii="宋体" w:hAnsi="宋体"/>
                <w:color w:val="000000"/>
                <w:szCs w:val="21"/>
              </w:rPr>
            </w:pPr>
            <w:r>
              <w:rPr>
                <w:rFonts w:hint="eastAsia" w:ascii="宋体" w:hAnsi="宋体"/>
                <w:color w:val="000000"/>
                <w:szCs w:val="21"/>
              </w:rPr>
              <w:t>4、虚拟化平台软件由学校提供。</w:t>
            </w:r>
          </w:p>
          <w:p>
            <w:pPr>
              <w:spacing w:line="340" w:lineRule="exact"/>
              <w:ind w:left="-29"/>
              <w:jc w:val="left"/>
              <w:rPr>
                <w:rFonts w:hint="eastAsia" w:ascii="宋体" w:hAnsi="宋体" w:cs="宋体"/>
                <w:color w:val="000000"/>
                <w:kern w:val="0"/>
                <w:szCs w:val="21"/>
              </w:rPr>
            </w:pPr>
            <w:r>
              <w:rPr>
                <w:rFonts w:hint="eastAsia" w:ascii="宋体" w:hAnsi="宋体" w:cs="宋体"/>
                <w:color w:val="000000"/>
                <w:kern w:val="0"/>
                <w:szCs w:val="21"/>
              </w:rPr>
              <w:t>三、业务系统迁移部署及升级</w:t>
            </w:r>
          </w:p>
          <w:p>
            <w:pPr>
              <w:spacing w:line="360" w:lineRule="exact"/>
              <w:rPr>
                <w:rFonts w:hint="eastAsia" w:ascii="宋体" w:hAnsi="宋体"/>
                <w:color w:val="000000"/>
                <w:szCs w:val="21"/>
              </w:rPr>
            </w:pPr>
            <w:r>
              <w:rPr>
                <w:rFonts w:hint="eastAsia" w:ascii="宋体" w:hAnsi="宋体"/>
                <w:color w:val="000000"/>
                <w:szCs w:val="21"/>
              </w:rPr>
              <w:t>★1、供应商自主联系各厂商利用恢复迁移的数据重新部署一卡通系统、OA系统、教务系统、学费系统、全国文明校园网、教学资源库存、图书管理系统、绩效工资系统，并将原来相应的Windows Server 2008升级到 Windows Server 2012、</w:t>
            </w:r>
            <w:r>
              <w:rPr>
                <w:rFonts w:hint="eastAsia" w:ascii="宋体" w:hAnsi="宋体" w:cs="宋体"/>
                <w:color w:val="000000"/>
                <w:kern w:val="0"/>
                <w:szCs w:val="21"/>
              </w:rPr>
              <w:t>RedHad Linux6.5升级为Centos7.0以上；</w:t>
            </w:r>
          </w:p>
          <w:p>
            <w:pPr>
              <w:spacing w:line="360" w:lineRule="exact"/>
              <w:rPr>
                <w:rFonts w:hint="eastAsia" w:ascii="宋体" w:hAnsi="宋体"/>
                <w:color w:val="000000"/>
                <w:szCs w:val="21"/>
              </w:rPr>
            </w:pPr>
            <w:r>
              <w:rPr>
                <w:rFonts w:hint="eastAsia" w:ascii="宋体" w:hAnsi="宋体"/>
                <w:color w:val="000000"/>
                <w:szCs w:val="21"/>
              </w:rPr>
              <w:t>★2、供应商自主联系各厂商利用恢复的数据重新部署电控系统、门禁系统，操作系统无需升级；</w:t>
            </w:r>
          </w:p>
          <w:p>
            <w:pPr>
              <w:spacing w:line="360" w:lineRule="exact"/>
              <w:rPr>
                <w:rFonts w:hint="eastAsia" w:ascii="宋体" w:hAnsi="宋体"/>
                <w:color w:val="000000"/>
                <w:szCs w:val="21"/>
              </w:rPr>
            </w:pPr>
            <w:r>
              <w:rPr>
                <w:rFonts w:hint="eastAsia" w:ascii="宋体" w:hAnsi="宋体"/>
                <w:color w:val="000000"/>
                <w:szCs w:val="21"/>
              </w:rPr>
              <w:t>3、供应商必须自主联系华为厂家申请软件授权对网管系统、准入认证系统进行重新部署，并对操作系统升级为</w:t>
            </w:r>
            <w:r>
              <w:rPr>
                <w:rFonts w:ascii="宋体" w:hAnsi="宋体"/>
                <w:color w:val="000000"/>
                <w:szCs w:val="21"/>
              </w:rPr>
              <w:t>EulerOS</w:t>
            </w:r>
            <w:r>
              <w:rPr>
                <w:rFonts w:hint="eastAsia" w:ascii="宋体" w:hAnsi="宋体"/>
                <w:color w:val="000000"/>
                <w:szCs w:val="21"/>
              </w:rPr>
              <w:t>2.0以上。</w:t>
            </w:r>
          </w:p>
          <w:p>
            <w:pPr>
              <w:spacing w:line="360" w:lineRule="exact"/>
              <w:rPr>
                <w:rFonts w:hint="eastAsia" w:ascii="宋体" w:hAnsi="宋体"/>
                <w:color w:val="000000"/>
                <w:szCs w:val="21"/>
              </w:rPr>
            </w:pPr>
            <w:r>
              <w:rPr>
                <w:rFonts w:hint="eastAsia" w:ascii="宋体" w:hAnsi="宋体"/>
                <w:color w:val="000000"/>
                <w:szCs w:val="21"/>
              </w:rPr>
              <w:t>★4、</w:t>
            </w:r>
            <w:r>
              <w:rPr>
                <w:rFonts w:hint="eastAsia" w:ascii="宋体" w:hAnsi="宋体" w:cs="宋体"/>
                <w:color w:val="000000"/>
                <w:kern w:val="0"/>
                <w:szCs w:val="21"/>
              </w:rPr>
              <w:t>供应商必须自主联系各教学系统厂家，重新挂载恢复的各系统的虚拟机，并调试可用。</w:t>
            </w:r>
          </w:p>
          <w:p>
            <w:pPr>
              <w:spacing w:line="340" w:lineRule="exact"/>
              <w:jc w:val="left"/>
              <w:rPr>
                <w:rFonts w:hint="eastAsia" w:ascii="宋体" w:hAnsi="宋体"/>
                <w:color w:val="000000"/>
                <w:szCs w:val="21"/>
              </w:rPr>
            </w:pPr>
            <w:r>
              <w:rPr>
                <w:rFonts w:hint="eastAsia" w:ascii="宋体" w:hAnsi="宋体"/>
                <w:color w:val="000000"/>
                <w:szCs w:val="21"/>
              </w:rPr>
              <w:t>★5、对于无法列出的零星数据，供应商必须全程配合，学校不再支付任费用。</w:t>
            </w:r>
          </w:p>
        </w:tc>
        <w:tc>
          <w:tcPr>
            <w:tcW w:w="700" w:type="dxa"/>
            <w:noWrap w:val="0"/>
            <w:vAlign w:val="center"/>
          </w:tcPr>
          <w:p>
            <w:pPr>
              <w:ind w:left="-71" w:leftChars="-34" w:firstLine="42" w:firstLineChars="20"/>
              <w:jc w:val="center"/>
              <w:rPr>
                <w:rFonts w:hint="eastAsia" w:ascii="宋体" w:hAnsi="宋体"/>
                <w:color w:val="000000"/>
                <w:szCs w:val="21"/>
              </w:rPr>
            </w:pPr>
          </w:p>
        </w:tc>
        <w:tc>
          <w:tcPr>
            <w:tcW w:w="896" w:type="dxa"/>
            <w:noWrap w:val="0"/>
            <w:vAlign w:val="center"/>
          </w:tcPr>
          <w:p>
            <w:pPr>
              <w:ind w:left="-71" w:leftChars="-34" w:firstLine="42" w:firstLineChars="20"/>
              <w:jc w:val="center"/>
              <w:rPr>
                <w:rFonts w:hint="eastAsia" w:ascii="宋体" w:hAnsi="宋体"/>
                <w:color w:val="000000"/>
                <w:szCs w:val="21"/>
              </w:rPr>
            </w:pPr>
          </w:p>
        </w:tc>
        <w:tc>
          <w:tcPr>
            <w:tcW w:w="913" w:type="dxa"/>
            <w:noWrap w:val="0"/>
            <w:vAlign w:val="center"/>
          </w:tcPr>
          <w:p>
            <w:pPr>
              <w:ind w:left="-71" w:leftChars="-34" w:firstLine="42" w:firstLineChars="20"/>
              <w:jc w:val="center"/>
              <w:rPr>
                <w:rFonts w:hint="eastAsia" w:ascii="宋体" w:hAnsi="宋体"/>
                <w:color w:val="000000"/>
                <w:szCs w:val="21"/>
              </w:rPr>
            </w:pPr>
          </w:p>
        </w:tc>
        <w:tc>
          <w:tcPr>
            <w:tcW w:w="1134" w:type="dxa"/>
            <w:noWrap w:val="0"/>
            <w:vAlign w:val="center"/>
          </w:tcPr>
          <w:p>
            <w:pPr>
              <w:ind w:left="-71" w:leftChars="-34" w:firstLine="42" w:firstLineChars="20"/>
              <w:jc w:val="center"/>
              <w:rPr>
                <w:rFonts w:hint="eastAsia" w:ascii="宋体" w:hAnsi="宋体"/>
                <w:color w:val="000000"/>
                <w:szCs w:val="21"/>
              </w:rPr>
            </w:pPr>
          </w:p>
        </w:tc>
        <w:tc>
          <w:tcPr>
            <w:tcW w:w="992" w:type="dxa"/>
            <w:noWrap w:val="0"/>
            <w:vAlign w:val="center"/>
          </w:tcPr>
          <w:p>
            <w:pPr>
              <w:spacing w:line="0" w:lineRule="atLeast"/>
              <w:ind w:left="-71" w:leftChars="-34" w:firstLine="42" w:firstLineChars="20"/>
              <w:jc w:val="center"/>
              <w:rPr>
                <w:rFonts w:hint="eastAsia" w:ascii="宋体" w:hAnsi="宋体"/>
                <w:color w:val="000000"/>
                <w:szCs w:val="21"/>
              </w:rPr>
            </w:pPr>
          </w:p>
        </w:tc>
        <w:tc>
          <w:tcPr>
            <w:tcW w:w="993" w:type="dxa"/>
            <w:noWrap w:val="0"/>
            <w:vAlign w:val="center"/>
          </w:tcPr>
          <w:p>
            <w:pPr>
              <w:spacing w:line="0" w:lineRule="atLeast"/>
              <w:ind w:left="-71" w:leftChars="-34" w:firstLine="42" w:firstLineChars="20"/>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77" w:type="dxa"/>
            <w:gridSpan w:val="7"/>
            <w:noWrap w:val="0"/>
            <w:vAlign w:val="center"/>
          </w:tcPr>
          <w:p>
            <w:pPr>
              <w:ind w:left="-71" w:leftChars="-34" w:firstLine="42" w:firstLineChars="20"/>
              <w:jc w:val="center"/>
              <w:rPr>
                <w:rFonts w:hint="eastAsia" w:ascii="宋体" w:hAnsi="宋体"/>
                <w:szCs w:val="21"/>
              </w:rPr>
            </w:pPr>
            <w:r>
              <w:rPr>
                <w:rFonts w:hint="eastAsia" w:ascii="宋体" w:hAnsi="宋体"/>
                <w:szCs w:val="21"/>
              </w:rPr>
              <w:t xml:space="preserve">合  计   </w:t>
            </w:r>
          </w:p>
        </w:tc>
        <w:tc>
          <w:tcPr>
            <w:tcW w:w="913" w:type="dxa"/>
            <w:noWrap w:val="0"/>
            <w:vAlign w:val="center"/>
          </w:tcPr>
          <w:p>
            <w:pPr>
              <w:spacing w:line="0" w:lineRule="atLeast"/>
              <w:ind w:left="-71" w:leftChars="-34" w:firstLine="42" w:firstLineChars="20"/>
              <w:jc w:val="center"/>
              <w:rPr>
                <w:rFonts w:hint="eastAsia" w:ascii="宋体" w:hAnsi="宋体"/>
                <w:b/>
                <w:szCs w:val="21"/>
              </w:rPr>
            </w:pPr>
          </w:p>
        </w:tc>
        <w:tc>
          <w:tcPr>
            <w:tcW w:w="1134" w:type="dxa"/>
            <w:noWrap w:val="0"/>
            <w:vAlign w:val="center"/>
          </w:tcPr>
          <w:p>
            <w:pPr>
              <w:spacing w:line="0" w:lineRule="atLeast"/>
              <w:ind w:left="-71" w:leftChars="-34" w:firstLine="42" w:firstLineChars="20"/>
              <w:jc w:val="left"/>
              <w:rPr>
                <w:rFonts w:hint="eastAsia" w:ascii="宋体" w:hAnsi="宋体"/>
                <w:szCs w:val="21"/>
              </w:rPr>
            </w:pPr>
          </w:p>
        </w:tc>
        <w:tc>
          <w:tcPr>
            <w:tcW w:w="992" w:type="dxa"/>
            <w:noWrap w:val="0"/>
            <w:vAlign w:val="center"/>
          </w:tcPr>
          <w:p>
            <w:pPr>
              <w:spacing w:line="0" w:lineRule="atLeast"/>
              <w:ind w:left="-71" w:leftChars="-34" w:firstLine="42" w:firstLineChars="20"/>
              <w:jc w:val="center"/>
              <w:rPr>
                <w:rFonts w:hint="eastAsia" w:ascii="宋体" w:hAnsi="宋体"/>
                <w:szCs w:val="21"/>
              </w:rPr>
            </w:pPr>
          </w:p>
        </w:tc>
        <w:tc>
          <w:tcPr>
            <w:tcW w:w="993" w:type="dxa"/>
            <w:noWrap w:val="0"/>
            <w:vAlign w:val="center"/>
          </w:tcPr>
          <w:p>
            <w:pPr>
              <w:spacing w:line="0" w:lineRule="atLeast"/>
              <w:ind w:left="-71" w:leftChars="-34" w:firstLine="42" w:firstLineChars="20"/>
              <w:jc w:val="center"/>
              <w:rPr>
                <w:rFonts w:hint="eastAsia" w:ascii="宋体" w:hAnsi="宋体"/>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78B70"/>
    <w:multiLevelType w:val="singleLevel"/>
    <w:tmpl w:val="B4C78B70"/>
    <w:lvl w:ilvl="0" w:tentative="0">
      <w:start w:val="13"/>
      <w:numFmt w:val="decimal"/>
      <w:suff w:val="nothing"/>
      <w:lvlText w:val="%1、"/>
      <w:lvlJc w:val="left"/>
    </w:lvl>
  </w:abstractNum>
  <w:abstractNum w:abstractNumId="1">
    <w:nsid w:val="BEA87AC6"/>
    <w:multiLevelType w:val="singleLevel"/>
    <w:tmpl w:val="BEA87AC6"/>
    <w:lvl w:ilvl="0" w:tentative="0">
      <w:start w:val="9"/>
      <w:numFmt w:val="decimal"/>
      <w:suff w:val="nothing"/>
      <w:lvlText w:val="%1、"/>
      <w:lvlJc w:val="left"/>
    </w:lvl>
  </w:abstractNum>
  <w:abstractNum w:abstractNumId="2">
    <w:nsid w:val="C6C4325B"/>
    <w:multiLevelType w:val="singleLevel"/>
    <w:tmpl w:val="C6C4325B"/>
    <w:lvl w:ilvl="0" w:tentative="0">
      <w:start w:val="6"/>
      <w:numFmt w:val="decimal"/>
      <w:suff w:val="nothing"/>
      <w:lvlText w:val="%1、"/>
      <w:lvlJc w:val="left"/>
    </w:lvl>
  </w:abstractNum>
  <w:abstractNum w:abstractNumId="3">
    <w:nsid w:val="E5645D51"/>
    <w:multiLevelType w:val="singleLevel"/>
    <w:tmpl w:val="E5645D51"/>
    <w:lvl w:ilvl="0" w:tentative="0">
      <w:start w:val="1"/>
      <w:numFmt w:val="decimal"/>
      <w:suff w:val="nothing"/>
      <w:lvlText w:val="%1、"/>
      <w:lvlJc w:val="left"/>
    </w:lvl>
  </w:abstractNum>
  <w:abstractNum w:abstractNumId="4">
    <w:nsid w:val="20687969"/>
    <w:multiLevelType w:val="multilevel"/>
    <w:tmpl w:val="2068796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9502F7"/>
    <w:multiLevelType w:val="multilevel"/>
    <w:tmpl w:val="259502F7"/>
    <w:lvl w:ilvl="0" w:tentative="0">
      <w:start w:val="1"/>
      <w:numFmt w:val="japaneseCounting"/>
      <w:lvlText w:val="%1、"/>
      <w:lvlJc w:val="left"/>
      <w:pPr>
        <w:ind w:left="391" w:hanging="420"/>
      </w:pPr>
      <w:rPr>
        <w:rFonts w:hint="default"/>
      </w:rPr>
    </w:lvl>
    <w:lvl w:ilvl="1" w:tentative="0">
      <w:start w:val="1"/>
      <w:numFmt w:val="lowerLetter"/>
      <w:lvlText w:val="%2)"/>
      <w:lvlJc w:val="left"/>
      <w:pPr>
        <w:ind w:left="811" w:hanging="420"/>
      </w:pPr>
    </w:lvl>
    <w:lvl w:ilvl="2" w:tentative="0">
      <w:start w:val="1"/>
      <w:numFmt w:val="lowerRoman"/>
      <w:lvlText w:val="%3."/>
      <w:lvlJc w:val="right"/>
      <w:pPr>
        <w:ind w:left="1231" w:hanging="420"/>
      </w:pPr>
    </w:lvl>
    <w:lvl w:ilvl="3" w:tentative="0">
      <w:start w:val="1"/>
      <w:numFmt w:val="decimal"/>
      <w:lvlText w:val="%4."/>
      <w:lvlJc w:val="left"/>
      <w:pPr>
        <w:ind w:left="1651" w:hanging="420"/>
      </w:pPr>
    </w:lvl>
    <w:lvl w:ilvl="4" w:tentative="0">
      <w:start w:val="1"/>
      <w:numFmt w:val="lowerLetter"/>
      <w:lvlText w:val="%5)"/>
      <w:lvlJc w:val="left"/>
      <w:pPr>
        <w:ind w:left="2071" w:hanging="420"/>
      </w:pPr>
    </w:lvl>
    <w:lvl w:ilvl="5" w:tentative="0">
      <w:start w:val="1"/>
      <w:numFmt w:val="lowerRoman"/>
      <w:lvlText w:val="%6."/>
      <w:lvlJc w:val="right"/>
      <w:pPr>
        <w:ind w:left="2491" w:hanging="420"/>
      </w:pPr>
    </w:lvl>
    <w:lvl w:ilvl="6" w:tentative="0">
      <w:start w:val="1"/>
      <w:numFmt w:val="decimal"/>
      <w:lvlText w:val="%7."/>
      <w:lvlJc w:val="left"/>
      <w:pPr>
        <w:ind w:left="2911" w:hanging="420"/>
      </w:pPr>
    </w:lvl>
    <w:lvl w:ilvl="7" w:tentative="0">
      <w:start w:val="1"/>
      <w:numFmt w:val="lowerLetter"/>
      <w:lvlText w:val="%8)"/>
      <w:lvlJc w:val="left"/>
      <w:pPr>
        <w:ind w:left="3331" w:hanging="420"/>
      </w:pPr>
    </w:lvl>
    <w:lvl w:ilvl="8" w:tentative="0">
      <w:start w:val="1"/>
      <w:numFmt w:val="lowerRoman"/>
      <w:lvlText w:val="%9."/>
      <w:lvlJc w:val="right"/>
      <w:pPr>
        <w:ind w:left="3751"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35B81"/>
    <w:rsid w:val="7D83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2021-06-02T00:45:00Z</dcterms:created>
  <dc:creator>虎啦啦啦啦</dc:creator>
  <cp:lastModifiedBy>虎啦啦啦啦</cp:lastModifiedBy>
  <dcterms:modified xsi:type="dcterms:W3CDTF">2021-06-02T00:46:31Z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F0E19B6C73E04223B747E1686E2A2E02</vt:lpwstr>
  </property>
</Properties>
</file>